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Lato" w:cs="Lato" w:eastAsia="Lato" w:hAnsi="Lato"/>
          <w:sz w:val="40"/>
          <w:szCs w:val="40"/>
          <w:shd w:fill="cfe2f3" w:val="clear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40"/>
          <w:szCs w:val="40"/>
          <w:shd w:fill="cfe2f3" w:val="clear"/>
          <w:rtl w:val="0"/>
        </w:rPr>
        <w:t xml:space="preserve">Lexington House Investment Analysis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34"/>
          <w:szCs w:val="34"/>
          <w:rtl w:val="0"/>
        </w:rPr>
        <w:t xml:space="preserve">1. Executive Summary</w:t>
      </w:r>
    </w:p>
    <w:p w:rsidR="00000000" w:rsidDel="00000000" w:rsidP="00000000" w:rsidRDefault="00000000" w:rsidRPr="00000000" w14:paraId="00000004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Property Overview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Property Name: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Lexington House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Location: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Virginia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Investment Type: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Project-Based Rental Assistant Section 8 Senior Housing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Total Units: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78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Unit Mix: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1-Bedroom / 1-Bath: 78 Units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Total Square Footage: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572 sq. ft.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Occupancy Rate: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88%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(stable demand)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Current Rents: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Current rents at Lexington House are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40.6% above local market levels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which is expected and acceptable for Project-Based Rental Assistant assets. Under HUD regulations, rents are not restricted by LIHTC program limits; instead, they follow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Section 8 contract rents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which are determined through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HUD rent reasonableness tests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. Therefore, LIHTC rent benchmarks are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not applicable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to this property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Projected Annual Rent Growth: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2.5%(based on LHA AMI growth trends)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Projected Expense Growth: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3%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annually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Cap Rate: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Entry Cap Rate: 4.63%</w:t>
      </w:r>
    </w:p>
    <w:p w:rsidR="00000000" w:rsidDel="00000000" w:rsidP="00000000" w:rsidRDefault="00000000" w:rsidRPr="00000000" w14:paraId="00000012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Stabilized Cap Rate: 9.16%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NOI Growth Projection: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Year 1: $449,297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6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Year 10: $888,102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Valuation Sensitivity Range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: $5.7M - $29.4M, reflecting the wide dispersion caused by discount rate and growth rate assumptions.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Investment Performance Assessment: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Proceed with confidence, monitor HUD rent adjustments closely, and maintain strict compliance with all Section 8 Project-Based Rental Assistant program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34"/>
          <w:szCs w:val="34"/>
          <w:rtl w:val="0"/>
        </w:rPr>
        <w:t xml:space="preserve">2. Property &amp; Market Overview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Property Characteristics &amp; Unit Details</w:t>
      </w:r>
    </w:p>
    <w:tbl>
      <w:tblPr>
        <w:tblStyle w:val="Table1"/>
        <w:tblW w:w="855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63"/>
        <w:gridCol w:w="763"/>
        <w:gridCol w:w="890"/>
        <w:gridCol w:w="2043"/>
        <w:gridCol w:w="1976"/>
        <w:gridCol w:w="1123"/>
        <w:tblGridChange w:id="0">
          <w:tblGrid>
            <w:gridCol w:w="1763"/>
            <w:gridCol w:w="763"/>
            <w:gridCol w:w="890"/>
            <w:gridCol w:w="2043"/>
            <w:gridCol w:w="1976"/>
            <w:gridCol w:w="1123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Unit Type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Units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Sq. Ft.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Current Rents ($)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Market Rents ($)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Discount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sz w:val="22"/>
                <w:szCs w:val="22"/>
                <w:rtl w:val="0"/>
              </w:rPr>
              <w:t xml:space="preserve">1x1 (30%ELI)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572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$1,465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$1,042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40.6%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cfe2f3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Lato" w:cs="Lato" w:eastAsia="Lato" w:hAnsi="Lato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Weighted Avg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8"/>
                <w:szCs w:val="18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8"/>
                <w:szCs w:val="18"/>
                <w:rtl w:val="0"/>
              </w:rPr>
              <w:t xml:space="preserve">572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8"/>
                <w:szCs w:val="18"/>
                <w:rtl w:val="0"/>
              </w:rPr>
              <w:t xml:space="preserve">$1,465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8"/>
                <w:szCs w:val="18"/>
                <w:rtl w:val="0"/>
              </w:rPr>
              <w:t xml:space="preserve">$1,042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8"/>
                <w:szCs w:val="18"/>
                <w:rtl w:val="0"/>
              </w:rPr>
              <w:t xml:space="preserve">40.6%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Competitive Landscape &amp; Comparable Properties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Market Comparable Properties: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Similar Section 8 properties in the Virginia area show 90-96% occupancy rates.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Market Rent Analysis: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Lexington House’s current Section 8 contract rents are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40.6% above local market rents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, which is typical for Project-Based Rental Assistance (PBRA) properties because HUD —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not the private market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determines rent reasonableness.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spacing w:after="0" w:before="0" w:line="240" w:lineRule="auto"/>
        <w:ind w:left="144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LIHTC rent limits are shown for reference, but they 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do not apply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to this property. As expected, Section 8 rents exceed LIHTC gross rent limits by 106.7%, reflecting the stronger rent support under HUD’s program.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Key Risks: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Regulatory oversight –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HUD-driven rent setting and annual approval cycles may impact revenue stability.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Expense inflation –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rising operating and maintenance costs could outpace the projected 3% expense growth.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Program dependency –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reliance on Section 8 PBRA funding exposes the asset to federal budget changes and compliance audits.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Occupancy swings – 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although currently stable at 88%, shifts in senior housing demand could affect cash flow.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34"/>
          <w:szCs w:val="34"/>
          <w:rtl w:val="0"/>
        </w:rPr>
        <w:t xml:space="preserve">3. Financial Analysis: Revenue &amp; Expenses</w:t>
      </w:r>
    </w:p>
    <w:p w:rsidR="00000000" w:rsidDel="00000000" w:rsidP="00000000" w:rsidRDefault="00000000" w:rsidRPr="00000000" w14:paraId="0000003A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Projected Revenue &amp; Operating Expenses</w:t>
      </w:r>
    </w:p>
    <w:sdt>
      <w:sdtPr>
        <w:lock w:val="contentLocked"/>
        <w:id w:val="478193283"/>
        <w:tag w:val="goog_rdk_0"/>
      </w:sdtPr>
      <w:sdtContent>
        <w:tbl>
          <w:tblPr>
            <w:tblStyle w:val="Table2"/>
            <w:tblpPr w:leftFromText="180" w:rightFromText="180" w:topFromText="180" w:bottomFromText="180" w:vertAnchor="text" w:horzAnchor="text" w:tblpX="-105" w:tblpY="0"/>
            <w:tblW w:w="714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350"/>
            <w:gridCol w:w="1545"/>
            <w:gridCol w:w="1875"/>
            <w:gridCol w:w="2370"/>
            <w:tblGridChange w:id="0">
              <w:tblGrid>
                <w:gridCol w:w="1350"/>
                <w:gridCol w:w="1545"/>
                <w:gridCol w:w="1875"/>
                <w:gridCol w:w="23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  <w:rtl w:val="0"/>
                  </w:rPr>
                  <w:t xml:space="preserve">Year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  <w:rtl w:val="0"/>
                  </w:rPr>
                  <w:t xml:space="preserve">Revenue ($)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  <w:rtl w:val="0"/>
                  </w:rPr>
                  <w:t xml:space="preserve">Operating Expenses ($)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5"/>
                    <w:szCs w:val="25"/>
                    <w:rtl w:val="0"/>
                  </w:rPr>
                  <w:t xml:space="preserve">Net Operating Income (NOI) ($)</w:t>
                </w:r>
              </w:p>
            </w:tc>
          </w:tr>
          <w:tr>
            <w:trPr>
              <w:cantSplit w:val="0"/>
              <w:trHeight w:val="330" w:hRule="atLeast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2021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$1,206,691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$724,015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$449,297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2022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$1,260,992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$738,495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$488,450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2023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$1,317,737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$753,265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$529,744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2024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$1,377,035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$768,330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$573,282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$1,439,002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$783,697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$619,174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2026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$1,503,757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$799,371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$667,532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2027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$1,571,426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$815,358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$718,477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2028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$1,642,140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$831,665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$772,132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2029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$1,716,036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$848,299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$828,628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2030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$1,793,258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$865,265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5"/>
                    <w:szCs w:val="25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5"/>
                    <w:szCs w:val="25"/>
                    <w:rtl w:val="0"/>
                  </w:rPr>
                  <w:t xml:space="preserve">$888,102</w:t>
                </w:r>
              </w:p>
            </w:tc>
          </w:tr>
        </w:tbl>
      </w:sdtContent>
    </w:sdt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Expense Breakdown (60% of Revenue)</w:t>
      </w:r>
    </w:p>
    <w:sdt>
      <w:sdtPr>
        <w:lock w:val="contentLocked"/>
        <w:id w:val="-2045616446"/>
        <w:tag w:val="goog_rdk_1"/>
      </w:sdtPr>
      <w:sdtContent>
        <w:tbl>
          <w:tblPr>
            <w:tblStyle w:val="Table3"/>
            <w:tblW w:w="7235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496"/>
            <w:gridCol w:w="2616"/>
            <w:gridCol w:w="2123"/>
            <w:tblGridChange w:id="0">
              <w:tblGrid>
                <w:gridCol w:w="2496"/>
                <w:gridCol w:w="2616"/>
                <w:gridCol w:w="212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77">
                <w:pPr>
                  <w:jc w:val="center"/>
                  <w:rPr>
                    <w:rFonts w:ascii="Lato" w:cs="Lato" w:eastAsia="Lato" w:hAnsi="Lat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2"/>
                    <w:szCs w:val="22"/>
                    <w:rtl w:val="0"/>
                  </w:rPr>
                  <w:t xml:space="preserve">Category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78">
                <w:pPr>
                  <w:jc w:val="center"/>
                  <w:rPr>
                    <w:rFonts w:ascii="Lato" w:cs="Lato" w:eastAsia="Lato" w:hAnsi="Lat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2"/>
                    <w:szCs w:val="22"/>
                    <w:rtl w:val="0"/>
                  </w:rPr>
                  <w:t xml:space="preserve">Percentage of Expenses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shd w:fill="cfe2f3" w:val="clear"/>
              </w:tcPr>
              <w:p w:rsidR="00000000" w:rsidDel="00000000" w:rsidP="00000000" w:rsidRDefault="00000000" w:rsidRPr="00000000" w14:paraId="00000079">
                <w:pPr>
                  <w:jc w:val="center"/>
                  <w:rPr>
                    <w:rFonts w:ascii="Lato" w:cs="Lato" w:eastAsia="Lato" w:hAnsi="Lato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b w:val="1"/>
                    <w:bCs w:val="1"/>
                    <w:sz w:val="22"/>
                    <w:szCs w:val="22"/>
                    <w:rtl w:val="0"/>
                  </w:rPr>
                  <w:t xml:space="preserve">Estimated Cost ($)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</w:tcPr>
              <w:p w:rsidR="00000000" w:rsidDel="00000000" w:rsidP="00000000" w:rsidRDefault="00000000" w:rsidRPr="00000000" w14:paraId="0000007A">
                <w:pPr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Property Management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13.33%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$96,511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</w:tcPr>
              <w:p w:rsidR="00000000" w:rsidDel="00000000" w:rsidP="00000000" w:rsidRDefault="00000000" w:rsidRPr="00000000" w14:paraId="0000007D">
                <w:pPr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Maintenance &amp; Repairs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20.00%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$144,803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</w:tcPr>
              <w:p w:rsidR="00000000" w:rsidDel="00000000" w:rsidP="00000000" w:rsidRDefault="00000000" w:rsidRPr="00000000" w14:paraId="00000080">
                <w:pPr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Utilities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26.67%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$193,095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</w:tcPr>
              <w:p w:rsidR="00000000" w:rsidDel="00000000" w:rsidP="00000000" w:rsidRDefault="00000000" w:rsidRPr="00000000" w14:paraId="00000083">
                <w:pPr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Insurance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13.33%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$96,511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</w:tcPr>
              <w:p w:rsidR="00000000" w:rsidDel="00000000" w:rsidP="00000000" w:rsidRDefault="00000000" w:rsidRPr="00000000" w14:paraId="00000086">
                <w:pPr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Marketing/Leasing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6.67%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$48,292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</w:tcPr>
              <w:p w:rsidR="00000000" w:rsidDel="00000000" w:rsidP="00000000" w:rsidRDefault="00000000" w:rsidRPr="00000000" w14:paraId="00000089">
                <w:pPr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Miscellaneous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20.00%</w:t>
                </w:r>
              </w:p>
            </w:tc>
            <w:tc>
              <w:tcPr>
                <w:tcBorders>
                  <w:top w:color="b7b7b7" w:space="0" w:sz="4" w:val="single"/>
                  <w:left w:color="b7b7b7" w:space="0" w:sz="4" w:val="single"/>
                  <w:bottom w:color="b7b7b7" w:space="0" w:sz="4" w:val="single"/>
                  <w:right w:color="b7b7b7" w:space="0" w:sz="4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Lato" w:cs="Lato" w:eastAsia="Lato" w:hAnsi="Lato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Lato" w:cs="Lato" w:eastAsia="Lato" w:hAnsi="Lato"/>
                    <w:sz w:val="22"/>
                    <w:szCs w:val="22"/>
                    <w:rtl w:val="0"/>
                  </w:rPr>
                  <w:t xml:space="preserve">$144,803</w:t>
                </w:r>
              </w:p>
            </w:tc>
          </w:tr>
        </w:tbl>
      </w:sdtContent>
    </w:sdt>
    <w:p w:rsidR="00000000" w:rsidDel="00000000" w:rsidP="00000000" w:rsidRDefault="00000000" w:rsidRPr="00000000" w14:paraId="0000008C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Key Observations: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sdt>
        <w:sdtPr>
          <w:id w:val="993340912"/>
          <w:tag w:val="goog_rdk_2"/>
        </w:sdtPr>
        <w:sdtContent>
          <w:r w:rsidDel="00000000" w:rsidR="00000000" w:rsidRPr="00000000">
            <w:rPr>
              <w:rFonts w:ascii="Nova Mono" w:cs="Nova Mono" w:eastAsia="Nova Mono" w:hAnsi="Nova Mono"/>
              <w:sz w:val="22"/>
              <w:szCs w:val="22"/>
              <w:rtl w:val="0"/>
            </w:rPr>
            <w:t xml:space="preserve">NOI grows approximately ≈97.7% over 10 years, indicating strong long-term cash-flow growth.</w:t>
          </w:r>
        </w:sdtContent>
      </w:sdt>
    </w:p>
    <w:p w:rsidR="00000000" w:rsidDel="00000000" w:rsidP="00000000" w:rsidRDefault="00000000" w:rsidRPr="00000000" w14:paraId="0000008F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Operating expenses escalate steadily, tightening margins as costs rise faster than revenue.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spacing w:after="0" w:afterAutospacing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Revenue growth remains stable, driven by HUD-supported rent increases rather than market exposure.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spacing w:after="28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Expense structure is top-heavy, with utilities and maintenance making up nearly half of total costs</w:t>
      </w:r>
    </w:p>
    <w:p w:rsidR="00000000" w:rsidDel="00000000" w:rsidP="00000000" w:rsidRDefault="00000000" w:rsidRPr="00000000" w14:paraId="00000092">
      <w:pPr>
        <w:spacing w:after="280"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80" w:before="280" w:line="240" w:lineRule="auto"/>
        <w:rPr>
          <w:rFonts w:ascii="Lato" w:cs="Lato" w:eastAsia="Lato" w:hAnsi="Lato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sz w:val="34"/>
          <w:szCs w:val="34"/>
          <w:rtl w:val="0"/>
        </w:rPr>
        <w:t xml:space="preserve">4. Financial Valuation &amp; Sensitivity Analysis</w:t>
      </w:r>
    </w:p>
    <w:p w:rsidR="00000000" w:rsidDel="00000000" w:rsidP="00000000" w:rsidRDefault="00000000" w:rsidRPr="00000000" w14:paraId="00000094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Discounted Cash Flow (DCF) Model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Key Assumptions: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1"/>
          <w:numId w:val="5"/>
        </w:numPr>
        <w:spacing w:after="0" w:before="0" w:line="240" w:lineRule="auto"/>
        <w:ind w:left="144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Discount Rate: 8% - 16%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1"/>
          <w:numId w:val="5"/>
        </w:numPr>
        <w:spacing w:after="0" w:before="0" w:line="240" w:lineRule="auto"/>
        <w:ind w:left="144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Growth Rate: 1% - 5%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1"/>
          <w:numId w:val="5"/>
        </w:numPr>
        <w:spacing w:after="0" w:before="0" w:line="240" w:lineRule="auto"/>
        <w:ind w:left="1440" w:hanging="360"/>
        <w:rPr>
          <w:rFonts w:ascii="Lato" w:cs="Lato" w:eastAsia="Lato" w:hAnsi="Lato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Final Year UFCF: $</w:t>
      </w: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839,386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1"/>
          <w:numId w:val="5"/>
        </w:numPr>
        <w:spacing w:after="280" w:before="0" w:line="240" w:lineRule="auto"/>
        <w:ind w:left="1440" w:hanging="360"/>
        <w:rPr>
          <w:rFonts w:ascii="Lato" w:cs="Lato" w:eastAsia="Lato" w:hAnsi="Lato"/>
          <w:sz w:val="18"/>
          <w:szCs w:val="18"/>
        </w:rPr>
      </w:pPr>
      <w:sdt>
        <w:sdtPr>
          <w:id w:val="1444821254"/>
          <w:tag w:val="goog_rdk_3"/>
        </w:sdtPr>
        <w:sdtContent>
          <w:r w:rsidDel="00000000" w:rsidR="00000000" w:rsidRPr="00000000">
            <w:rPr>
              <w:rFonts w:ascii="Nova Mono" w:cs="Nova Mono" w:eastAsia="Nova Mono" w:hAnsi="Nova Mono"/>
              <w:sz w:val="22"/>
              <w:szCs w:val="22"/>
              <w:rtl w:val="0"/>
            </w:rPr>
            <w:t xml:space="preserve">Formula: TV = UFCF × (1 + Growth Rate) / Discount Rate − Growth Rate</w:t>
          </w:r>
        </w:sdtContent>
      </w:sdt>
    </w:p>
    <w:p w:rsidR="00000000" w:rsidDel="00000000" w:rsidP="00000000" w:rsidRDefault="00000000" w:rsidRPr="00000000" w14:paraId="0000009A">
      <w:pPr>
        <w:spacing w:after="280" w:before="0" w:line="240" w:lineRule="auto"/>
        <w:ind w:left="0" w:firstLine="0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Terminal Value Sensitivity Table</w:t>
      </w:r>
    </w:p>
    <w:tbl>
      <w:tblPr>
        <w:tblStyle w:val="Table4"/>
        <w:tblW w:w="107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0"/>
        <w:gridCol w:w="930"/>
        <w:gridCol w:w="1065"/>
        <w:gridCol w:w="1035"/>
        <w:gridCol w:w="1065"/>
        <w:gridCol w:w="1020"/>
        <w:gridCol w:w="1170"/>
        <w:gridCol w:w="1215"/>
        <w:gridCol w:w="1185"/>
        <w:gridCol w:w="1125"/>
        <w:tblGridChange w:id="0">
          <w:tblGrid>
            <w:gridCol w:w="930"/>
            <w:gridCol w:w="930"/>
            <w:gridCol w:w="1065"/>
            <w:gridCol w:w="1035"/>
            <w:gridCol w:w="1065"/>
            <w:gridCol w:w="1020"/>
            <w:gridCol w:w="1170"/>
            <w:gridCol w:w="1215"/>
            <w:gridCol w:w="1185"/>
            <w:gridCol w:w="1125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 Rate \ Growth Rate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1%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1.50%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2%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2.50%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3%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3.50%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4%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4.50%</w:t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1dff"/>
                <w:sz w:val="18"/>
                <w:szCs w:val="18"/>
                <w:rtl w:val="0"/>
              </w:rPr>
              <w:t xml:space="preserve">5%</w:t>
            </w:r>
          </w:p>
        </w:tc>
      </w:tr>
      <w:tr>
        <w:trPr>
          <w:cantSplit w:val="0"/>
          <w:trHeight w:val="481.80000000000007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1dff"/>
                <w:sz w:val="18"/>
                <w:szCs w:val="18"/>
                <w:rtl w:val="0"/>
              </w:rPr>
              <w:t xml:space="preserve">8%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12,111,141</w:t>
            </w:r>
          </w:p>
        </w:tc>
        <w:tc>
          <w:tcPr>
            <w:tcBorders>
              <w:top w:color="000000" w:space="0" w:sz="6" w:val="single"/>
            </w:tcBorders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13,107,335</w:t>
            </w:r>
          </w:p>
        </w:tc>
        <w:tc>
          <w:tcPr>
            <w:tcBorders>
              <w:top w:color="000000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14,269,562</w:t>
            </w:r>
          </w:p>
        </w:tc>
        <w:tc>
          <w:tcPr>
            <w:tcBorders>
              <w:top w:color="000000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15,643,103</w:t>
            </w:r>
          </w:p>
        </w:tc>
        <w:tc>
          <w:tcPr>
            <w:tcBorders>
              <w:top w:color="000000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17,291,352</w:t>
            </w:r>
          </w:p>
        </w:tc>
        <w:tc>
          <w:tcPr>
            <w:tcBorders>
              <w:top w:color="000000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19,305,878</w:t>
            </w:r>
          </w:p>
        </w:tc>
        <w:tc>
          <w:tcPr>
            <w:tcBorders>
              <w:top w:color="000000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21,824,036</w:t>
            </w:r>
          </w:p>
        </w:tc>
        <w:tc>
          <w:tcPr>
            <w:tcBorders>
              <w:top w:color="000000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25,061,668</w:t>
            </w:r>
          </w:p>
        </w:tc>
        <w:tc>
          <w:tcPr>
            <w:tcBorders>
              <w:top w:color="000000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29,378,510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1dff"/>
                <w:sz w:val="18"/>
                <w:szCs w:val="18"/>
                <w:rtl w:val="0"/>
              </w:rPr>
              <w:t xml:space="preserve">10%</w:t>
            </w:r>
          </w:p>
        </w:tc>
        <w:tc>
          <w:tcPr>
            <w:tcBorders>
              <w:left w:color="000000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9,419,776</w:t>
            </w:r>
          </w:p>
        </w:tc>
        <w:tc>
          <w:tcPr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10,023,256</w:t>
            </w:r>
          </w:p>
        </w:tc>
        <w:tc>
          <w:tcPr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10,702,172</w:t>
            </w:r>
          </w:p>
        </w:tc>
        <w:tc>
          <w:tcPr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11,471,609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12,350,966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13,365,608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14,549,358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15,948,334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17,627,106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1dff"/>
                <w:sz w:val="18"/>
                <w:szCs w:val="18"/>
                <w:rtl w:val="0"/>
              </w:rPr>
              <w:t xml:space="preserve">12%</w:t>
            </w:r>
          </w:p>
        </w:tc>
        <w:tc>
          <w:tcPr>
            <w:tcBorders>
              <w:left w:color="000000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7,707,090</w:t>
            </w:r>
          </w:p>
        </w:tc>
        <w:tc>
          <w:tcPr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8,114,065</w:t>
            </w:r>
          </w:p>
        </w:tc>
        <w:tc>
          <w:tcPr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8,561,737</w:t>
            </w:r>
          </w:p>
        </w:tc>
        <w:tc>
          <w:tcPr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9,056,533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9,606,307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10,220,759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10,912,018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11,695,445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12,590,790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1dff"/>
                <w:sz w:val="18"/>
                <w:szCs w:val="18"/>
                <w:rtl w:val="0"/>
              </w:rPr>
              <w:t xml:space="preserve">14%</w:t>
            </w:r>
          </w:p>
        </w:tc>
        <w:tc>
          <w:tcPr>
            <w:tcBorders>
              <w:left w:color="000000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6,521,384</w:t>
            </w:r>
          </w:p>
        </w:tc>
        <w:tc>
          <w:tcPr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6,815,814</w:t>
            </w:r>
          </w:p>
        </w:tc>
        <w:tc>
          <w:tcPr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7,134,781</w:t>
            </w:r>
          </w:p>
        </w:tc>
        <w:tc>
          <w:tcPr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7,481,484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7,859,705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8,273,948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8,729,615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9,233,246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9,792,837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color w:val="001dff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1dff"/>
                <w:sz w:val="18"/>
                <w:szCs w:val="18"/>
                <w:rtl w:val="0"/>
              </w:rPr>
              <w:t xml:space="preserve">16%</w:t>
            </w:r>
          </w:p>
        </w:tc>
        <w:tc>
          <w:tcPr>
            <w:tcBorders>
              <w:left w:color="000000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5,651,866</w:t>
            </w:r>
          </w:p>
        </w:tc>
        <w:tc>
          <w:tcPr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5,875,702</w:t>
            </w:r>
          </w:p>
        </w:tc>
        <w:tc>
          <w:tcPr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6,115,527</w:t>
            </w:r>
          </w:p>
        </w:tc>
        <w:tc>
          <w:tcPr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6,373,116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6,650,520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6,950,116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7,274,679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7,627,464</w:t>
            </w:r>
          </w:p>
        </w:tc>
        <w:tc>
          <w:tcPr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8,012,321</w:t>
            </w:r>
          </w:p>
        </w:tc>
      </w:tr>
    </w:tbl>
    <w:p w:rsidR="00000000" w:rsidDel="00000000" w:rsidP="00000000" w:rsidRDefault="00000000" w:rsidRPr="00000000" w14:paraId="000000D7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280"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Key Takeaways:</w:t>
      </w: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D9">
      <w:pPr>
        <w:numPr>
          <w:ilvl w:val="0"/>
          <w:numId w:val="3"/>
        </w:numPr>
        <w:spacing w:after="0" w:afterAutospacing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Higher discount rates significantly reduce value.</w:t>
      </w:r>
    </w:p>
    <w:p w:rsidR="00000000" w:rsidDel="00000000" w:rsidP="00000000" w:rsidRDefault="00000000" w:rsidRPr="00000000" w14:paraId="000000DA">
      <w:pPr>
        <w:numPr>
          <w:ilvl w:val="0"/>
          <w:numId w:val="3"/>
        </w:numPr>
        <w:spacing w:after="0" w:afterAutospacing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Terminal value ranges widely across assumptions by up to 250%..</w:t>
      </w:r>
    </w:p>
    <w:p w:rsidR="00000000" w:rsidDel="00000000" w:rsidP="00000000" w:rsidRDefault="00000000" w:rsidRPr="00000000" w14:paraId="000000DB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Growth rate changes produce major valuation swings.</w:t>
      </w:r>
    </w:p>
    <w:p w:rsidR="00000000" w:rsidDel="00000000" w:rsidP="00000000" w:rsidRDefault="00000000" w:rsidRPr="00000000" w14:paraId="000000DC">
      <w:pPr>
        <w:spacing w:after="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34"/>
          <w:szCs w:val="34"/>
          <w:rtl w:val="0"/>
        </w:rPr>
        <w:t xml:space="preserve">5. Investment Performance Assessment</w:t>
      </w:r>
    </w:p>
    <w:p w:rsidR="00000000" w:rsidDel="00000000" w:rsidP="00000000" w:rsidRDefault="00000000" w:rsidRPr="00000000" w14:paraId="000000DE">
      <w:pPr>
        <w:spacing w:after="280"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Pros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spacing w:after="0" w:afterAutospacing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Strong occupancy (88%) provides reliable cash flow stability.</w:t>
      </w:r>
    </w:p>
    <w:p w:rsidR="00000000" w:rsidDel="00000000" w:rsidP="00000000" w:rsidRDefault="00000000" w:rsidRPr="00000000" w14:paraId="000000E0">
      <w:pPr>
        <w:numPr>
          <w:ilvl w:val="0"/>
          <w:numId w:val="1"/>
        </w:numPr>
        <w:spacing w:after="0" w:afterAutospacing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NOI nearly doubles over 10 years, indicating solid long-term growth.</w:t>
      </w:r>
    </w:p>
    <w:p w:rsidR="00000000" w:rsidDel="00000000" w:rsidP="00000000" w:rsidRDefault="00000000" w:rsidRPr="00000000" w14:paraId="000000E1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Lato" w:cs="Lato" w:eastAsia="Lato" w:hAnsi="Lato"/>
          <w:sz w:val="22"/>
          <w:szCs w:val="22"/>
          <w:u w:val="no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HUD-backed Section 8 rents offer guaranteed, recession-resistant revenue.</w:t>
      </w:r>
    </w:p>
    <w:p w:rsidR="00000000" w:rsidDel="00000000" w:rsidP="00000000" w:rsidRDefault="00000000" w:rsidRPr="00000000" w14:paraId="000000E2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Cons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Operating expenses grow faster than revenue, pressuring margins.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40" w:lineRule="auto"/>
        <w:ind w:left="720" w:right="0" w:hanging="360"/>
        <w:jc w:val="left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Rents depend on HUD adjustments, limiting market-driven upside.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Valuation is highly sensitive to discount rate assumptions.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280" w:before="280" w:line="240" w:lineRule="auto"/>
        <w:rPr>
          <w:rFonts w:ascii="Lato" w:cs="Lato" w:eastAsia="Lato" w:hAnsi="Lato"/>
          <w:b w:val="1"/>
          <w:bCs w:val="1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5"/>
          <w:szCs w:val="25"/>
          <w:rtl w:val="0"/>
        </w:rPr>
        <w:t xml:space="preserve">Final Conclusion</w:t>
      </w:r>
    </w:p>
    <w:p w:rsidR="00000000" w:rsidDel="00000000" w:rsidP="00000000" w:rsidRDefault="00000000" w:rsidRPr="00000000" w14:paraId="000000E7">
      <w:pPr>
        <w:spacing w:before="280" w:line="240" w:lineRule="auto"/>
        <w:rPr>
          <w:rFonts w:ascii="Lato" w:cs="Lato" w:eastAsia="Lato" w:hAnsi="Lato"/>
          <w:sz w:val="25"/>
          <w:szCs w:val="25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Lexington House offers a stable Section 8 Project-Based Rental Assistant senior housing investment with consistent demand and dependable HUD-backed revenues. While NOI growth is strong, rising operating costs and federal program oversight require active management. The asset provides steady, lower-risk returns for investors comfortable with long-term regulatory dependence and sensitivity to discount rate changes.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280"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34"/>
          <w:szCs w:val="34"/>
          <w:rtl w:val="0"/>
        </w:rPr>
        <w:t xml:space="preserve">6. Appendix: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a. Underwritten Rent and Updated Rent Data for Lexington House</w:t>
      </w:r>
    </w:p>
    <w:tbl>
      <w:tblPr>
        <w:tblStyle w:val="Table5"/>
        <w:tblW w:w="106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5"/>
        <w:gridCol w:w="1500"/>
        <w:gridCol w:w="1170"/>
        <w:gridCol w:w="840"/>
        <w:gridCol w:w="615"/>
        <w:gridCol w:w="1350"/>
        <w:gridCol w:w="1170"/>
        <w:gridCol w:w="1125"/>
        <w:gridCol w:w="1065"/>
        <w:gridCol w:w="825"/>
        <w:tblGridChange w:id="0">
          <w:tblGrid>
            <w:gridCol w:w="1005"/>
            <w:gridCol w:w="1500"/>
            <w:gridCol w:w="1170"/>
            <w:gridCol w:w="840"/>
            <w:gridCol w:w="615"/>
            <w:gridCol w:w="1350"/>
            <w:gridCol w:w="1170"/>
            <w:gridCol w:w="1125"/>
            <w:gridCol w:w="1065"/>
            <w:gridCol w:w="82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Underwritten Rents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Unit Mix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Restriction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No.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Sq. Ft.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UW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Mkt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G. LIHTC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1x1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Section 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30% ELI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572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$1,100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[To be filled by Arc70]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[To be filled by Arc70]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Total / Wtd Avg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78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572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1,100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0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6fa8dc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0"/>
              <w:spacing w:after="0" w:line="276" w:lineRule="auto"/>
              <w:rPr>
                <w:rFonts w:ascii="Lato" w:cs="Lato" w:eastAsia="Lato" w:hAnsi="La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2"/>
                <w:szCs w:val="22"/>
                <w:rtl w:val="0"/>
              </w:rPr>
              <w:t xml:space="preserve">Updated Rents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Unit Mix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Restriction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No.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Sq. Ft.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Current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Mkt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G. LIHTC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1x1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Section 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30% ELI</w:t>
            </w:r>
          </w:p>
        </w:tc>
        <w:tc>
          <w:tcPr>
            <w:tcBorders>
              <w:top w:color="d9d9d9" w:space="0" w:sz="6" w:val="single"/>
              <w:left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572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$ 1,465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$ 1,042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40.6%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d9d9d9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$ 709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6" w:val="single"/>
              <w:bottom w:color="d9d9d9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106.7%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Total / Wtd Avg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78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572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$1,465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$1,050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40.6%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$709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106.7%</w:t>
            </w:r>
          </w:p>
        </w:tc>
      </w:tr>
    </w:tbl>
    <w:p w:rsidR="00000000" w:rsidDel="00000000" w:rsidP="00000000" w:rsidRDefault="00000000" w:rsidRPr="00000000" w14:paraId="00000145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b. Real Estate Appraisal - Market Comparables</w:t>
      </w:r>
    </w:p>
    <w:tbl>
      <w:tblPr>
        <w:tblStyle w:val="Table6"/>
        <w:tblW w:w="108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2.38532110091745"/>
        <w:gridCol w:w="1838.532110091743"/>
        <w:gridCol w:w="1045.8715596330276"/>
        <w:gridCol w:w="1343.119266055046"/>
        <w:gridCol w:w="1530.2752293577983"/>
        <w:gridCol w:w="1453.211009174312"/>
        <w:gridCol w:w="1453.211009174312"/>
        <w:gridCol w:w="1673.3944954128442"/>
        <w:tblGridChange w:id="0">
          <w:tblGrid>
            <w:gridCol w:w="462.38532110091745"/>
            <w:gridCol w:w="1838.532110091743"/>
            <w:gridCol w:w="1045.8715596330276"/>
            <w:gridCol w:w="1343.119266055046"/>
            <w:gridCol w:w="1530.2752293577983"/>
            <w:gridCol w:w="1453.211009174312"/>
            <w:gridCol w:w="1453.211009174312"/>
            <w:gridCol w:w="1673.3944954128442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Characteristics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Subject Property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Unit Type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Two-Bedroom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Two-Bedroom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Two-Bedroom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Two-Bedroom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Two-Bedroom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Two-Bedroom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Property (Address)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Lexington House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Honeywood Apartments</w:t>
            </w:r>
          </w:p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3101 H Honeywood Lane</w:t>
            </w:r>
          </w:p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Roanoke, 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Pebble Creek</w:t>
            </w:r>
          </w:p>
          <w:p w:rsidR="00000000" w:rsidDel="00000000" w:rsidP="00000000" w:rsidRDefault="00000000" w:rsidRPr="00000000" w14:paraId="0000016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3345 Circle Brooke Drive</w:t>
            </w:r>
          </w:p>
          <w:p w:rsidR="00000000" w:rsidDel="00000000" w:rsidP="00000000" w:rsidRDefault="00000000" w:rsidRPr="00000000" w14:paraId="0000016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Roanoke, 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Sterlingwood Apartments</w:t>
            </w:r>
          </w:p>
          <w:p w:rsidR="00000000" w:rsidDel="00000000" w:rsidP="00000000" w:rsidRDefault="00000000" w:rsidRPr="00000000" w14:paraId="0000016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2215 Montauk Road Northwest</w:t>
            </w:r>
          </w:p>
          <w:p w:rsidR="00000000" w:rsidDel="00000000" w:rsidP="00000000" w:rsidRDefault="00000000" w:rsidRPr="00000000" w14:paraId="0000016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Roanoke, 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Walden Pond Apartment Homes</w:t>
            </w:r>
          </w:p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1400 Weeping Willow Drive</w:t>
            </w:r>
          </w:p>
          <w:p w:rsidR="00000000" w:rsidDel="00000000" w:rsidP="00000000" w:rsidRDefault="00000000" w:rsidRPr="00000000" w14:paraId="0000016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Lynchburg, 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Borden Commons</w:t>
            </w:r>
          </w:p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550 Borden Rd</w:t>
            </w:r>
          </w:p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APT B13,</w:t>
            </w:r>
          </w:p>
          <w:p w:rsidR="00000000" w:rsidDel="00000000" w:rsidP="00000000" w:rsidRDefault="00000000" w:rsidRPr="00000000" w14:paraId="0000017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Lexington, VA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Effective Date of Rental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12/2019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12/2019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12/2019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12/2019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12/2019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10/2025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Type of Project/Stories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E/3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WU/3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WU/3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WU/3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WU/3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WU/3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Floor of Unit in Building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Project Occupancy 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88%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96%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99%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98%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93%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Concessions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Year Built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1977/Proposed (2021)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1974/2016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1985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Sq. Ft Area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590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Number of Bedrooms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Number of Baths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Number of Rooms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Balcony/Terrace/Patio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Garage or Carport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G/0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A/C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15b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Range/Refrigerator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Disposal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Microwave/Dishwasher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MD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MD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MD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Washer/Dryer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HU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WD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15f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Carpet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W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Drapes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Pool/Rec. Area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Services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a. Heat/Type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Y/G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Y/E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b. Cooling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c. Cook/Type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d. Electricity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e. Hot Water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f. Cold Water/Sewer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g. Trash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Storage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Y/0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Project Location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Average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Inferior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Inferior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Inferior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Inferior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Similar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Security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Clubhouse/Meeting 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MR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Special Features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A/EC/CT/CI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Business Center/Nbhd network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Unit Rent Per Month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$895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$940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$729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$728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widowControl w:val="0"/>
              <w:spacing w:after="0" w:line="276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Total Adjustments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$240</w:t>
            </w:r>
          </w:p>
        </w:tc>
        <w:tc>
          <w:tcPr>
            <w:tcBorders>
              <w:top w:color="cccccc" w:space="0" w:sz="6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$95</w:t>
            </w:r>
          </w:p>
        </w:tc>
        <w:tc>
          <w:tcPr>
            <w:tcBorders>
              <w:top w:color="cccccc" w:space="0" w:sz="6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$359</w:t>
            </w:r>
          </w:p>
        </w:tc>
        <w:tc>
          <w:tcPr>
            <w:tcBorders>
              <w:top w:color="cccccc" w:space="0" w:sz="6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$224</w:t>
            </w:r>
          </w:p>
        </w:tc>
        <w:tc>
          <w:tcPr>
            <w:tcBorders>
              <w:top w:color="cccccc" w:space="0" w:sz="6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Indicated Rent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$1,135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$1,035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$1,088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$952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$1,000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Correlated Subject Rent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widowControl w:val="0"/>
              <w:spacing w:after="0" w:line="276" w:lineRule="auto"/>
              <w:jc w:val="lef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$1,465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widowControl w:val="0"/>
              <w:spacing w:after="0" w:line="276" w:lineRule="auto"/>
              <w:jc w:val="lef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2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c. Real Estate Appraisal - LIHTC Comparables</w:t>
      </w:r>
    </w:p>
    <w:tbl>
      <w:tblPr>
        <w:tblStyle w:val="Table7"/>
        <w:tblW w:w="107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2130"/>
        <w:gridCol w:w="1485"/>
        <w:gridCol w:w="1380"/>
        <w:gridCol w:w="1350"/>
        <w:gridCol w:w="1275"/>
        <w:gridCol w:w="1275"/>
        <w:gridCol w:w="1200"/>
        <w:tblGridChange w:id="0">
          <w:tblGrid>
            <w:gridCol w:w="690"/>
            <w:gridCol w:w="2130"/>
            <w:gridCol w:w="1485"/>
            <w:gridCol w:w="1380"/>
            <w:gridCol w:w="1350"/>
            <w:gridCol w:w="1275"/>
            <w:gridCol w:w="1275"/>
            <w:gridCol w:w="120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Characteristics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Subject Property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Comparable Property No. 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Unit Type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One-Bedroom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One-Bedroom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One-Bedroom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One-Bedroom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One-Bedroom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One-Bedroom</w:t>
            </w:r>
          </w:p>
        </w:tc>
      </w:tr>
      <w:tr>
        <w:trPr>
          <w:cantSplit w:val="0"/>
          <w:trHeight w:val="148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Subject Property (Address)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Lexington House</w:t>
            </w:r>
          </w:p>
        </w:tc>
        <w:tc>
          <w:tcPr>
            <w:tcBorders>
              <w:lef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Mcgurk House</w:t>
            </w:r>
          </w:p>
          <w:p w:rsidR="00000000" w:rsidDel="00000000" w:rsidP="00000000" w:rsidRDefault="00000000" w:rsidRPr="00000000" w14:paraId="000002B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2425 Tate</w:t>
            </w:r>
          </w:p>
          <w:p w:rsidR="00000000" w:rsidDel="00000000" w:rsidP="00000000" w:rsidRDefault="00000000" w:rsidRPr="00000000" w14:paraId="000002B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Springs Rd</w:t>
            </w:r>
          </w:p>
          <w:p w:rsidR="00000000" w:rsidDel="00000000" w:rsidP="00000000" w:rsidRDefault="00000000" w:rsidRPr="00000000" w14:paraId="000002B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Lynchburg, VA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Jamestown Place</w:t>
            </w:r>
          </w:p>
          <w:p w:rsidR="00000000" w:rsidDel="00000000" w:rsidP="00000000" w:rsidRDefault="00000000" w:rsidRPr="00000000" w14:paraId="000002B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1533 Pike Lane,</w:t>
            </w:r>
          </w:p>
          <w:p w:rsidR="00000000" w:rsidDel="00000000" w:rsidP="00000000" w:rsidRDefault="00000000" w:rsidRPr="00000000" w14:paraId="000002B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S.E. Roanoke, VA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Windermere Apartments</w:t>
            </w:r>
          </w:p>
          <w:p w:rsidR="00000000" w:rsidDel="00000000" w:rsidP="00000000" w:rsidRDefault="00000000" w:rsidRPr="00000000" w14:paraId="000002C1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125 Wallace St,</w:t>
            </w:r>
          </w:p>
          <w:p w:rsidR="00000000" w:rsidDel="00000000" w:rsidP="00000000" w:rsidRDefault="00000000" w:rsidRPr="00000000" w14:paraId="000002C2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Lexington, VA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Mountainview Terrace</w:t>
            </w:r>
          </w:p>
          <w:p w:rsidR="00000000" w:rsidDel="00000000" w:rsidP="00000000" w:rsidRDefault="00000000" w:rsidRPr="00000000" w14:paraId="000002C4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 Thompson Ct</w:t>
            </w:r>
          </w:p>
          <w:p w:rsidR="00000000" w:rsidDel="00000000" w:rsidP="00000000" w:rsidRDefault="00000000" w:rsidRPr="00000000" w14:paraId="000002C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Lexington, 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Hillcrest Apartments</w:t>
            </w:r>
          </w:p>
          <w:p w:rsidR="00000000" w:rsidDel="00000000" w:rsidP="00000000" w:rsidRDefault="00000000" w:rsidRPr="00000000" w14:paraId="000002C7">
            <w:pPr>
              <w:widowControl w:val="0"/>
              <w:spacing w:after="0" w:line="276" w:lineRule="auto"/>
              <w:jc w:val="center"/>
              <w:rPr>
                <w:rFonts w:ascii="Inter" w:cs="Inter" w:eastAsia="Inter" w:hAnsi="Inter"/>
                <w:sz w:val="18"/>
                <w:szCs w:val="18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3000 Birchwood Dr</w:t>
            </w:r>
          </w:p>
          <w:p w:rsidR="00000000" w:rsidDel="00000000" w:rsidP="00000000" w:rsidRDefault="00000000" w:rsidRPr="00000000" w14:paraId="000002C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Lynchburg, 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Effective Date of Rental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12/2019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10/2025</w:t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2/2024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08/2021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05/2021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Type of Project/Stories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E/3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WU/3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WU/2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WU/3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WU/2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E/4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Floor of the Unit in the Building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Varies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Varies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Varies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Varies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Varies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Varies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Project Occupancy 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88%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99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Concessions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Year Built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1977/Proposed (2021)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1985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1972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1994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1972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1980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Sq. Ft Area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572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552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550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700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608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Number of Bedrooms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Number of Baths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Number of Rooms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Balc./Terrace/Patio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Garage or Carport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L/0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L/0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L/0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L/0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L/0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L/0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A/C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15b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Range/Refrigerator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RF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RF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RF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RF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15c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Disposal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Microwave/Dishwasher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MD</w:t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Washer/Dryer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15f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Carpet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Drapes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Equipment - Pool/Rec. Area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R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Services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a. Heat/Type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Y/E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b. Cooling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Y/E</w:t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N/E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c. Cook/Type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Y/E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d. Electricity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e. Hot Water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N/E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Y/E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N/E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N/E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f. Cold Water/Sewer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g. Trash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Storage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Project Location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Average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Similar</w:t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Similar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Similar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Similar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Similar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Security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Clubhouse/Meeting Room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MR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Special Features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A/EC/CT/CI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.80000000000007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Business Center/Nbhd Netwk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</w:t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Inter" w:cs="Inter" w:eastAsia="Inter" w:hAnsi="Inter"/>
                <w:sz w:val="18"/>
                <w:szCs w:val="18"/>
                <w:rtl w:val="0"/>
              </w:rPr>
              <w:t xml:space="preserve">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Unit Rent Per Month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$880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$534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$736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$794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$600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Total Adjustment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4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7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A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Indicated Rent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$880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$534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$736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$794</w:t>
            </w:r>
          </w:p>
        </w:tc>
        <w:tc>
          <w:tcPr>
            <w:tcBorders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widowControl w:val="0"/>
              <w:spacing w:after="0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$600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Correlated Subject Rent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$1,100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6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F9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d. Revenue from Rent</w:t>
      </w:r>
    </w:p>
    <w:tbl>
      <w:tblPr>
        <w:tblStyle w:val="Table8"/>
        <w:tblW w:w="107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45"/>
        <w:gridCol w:w="555"/>
        <w:gridCol w:w="555"/>
        <w:gridCol w:w="630"/>
        <w:gridCol w:w="795"/>
        <w:gridCol w:w="840"/>
        <w:gridCol w:w="765"/>
        <w:gridCol w:w="735"/>
        <w:gridCol w:w="735"/>
        <w:gridCol w:w="765"/>
        <w:gridCol w:w="780"/>
        <w:gridCol w:w="705"/>
        <w:gridCol w:w="885"/>
        <w:gridCol w:w="750"/>
        <w:tblGridChange w:id="0">
          <w:tblGrid>
            <w:gridCol w:w="1245"/>
            <w:gridCol w:w="555"/>
            <w:gridCol w:w="555"/>
            <w:gridCol w:w="630"/>
            <w:gridCol w:w="795"/>
            <w:gridCol w:w="840"/>
            <w:gridCol w:w="765"/>
            <w:gridCol w:w="735"/>
            <w:gridCol w:w="735"/>
            <w:gridCol w:w="765"/>
            <w:gridCol w:w="780"/>
            <w:gridCol w:w="705"/>
            <w:gridCol w:w="885"/>
            <w:gridCol w:w="750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4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Years since purchase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Gregorian year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2021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2024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2026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2028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2029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4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6"/>
                <w:szCs w:val="16"/>
                <w:rtl w:val="0"/>
              </w:rPr>
              <w:t xml:space="preserve">INFLATION &amp; UPSIDE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Inflation (CPI)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7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2.0%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2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Rent increase (%/year)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6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2.5%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0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Rental upside (%/year)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3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0.0%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Total (%/year)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2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4.5%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14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6"/>
                <w:szCs w:val="16"/>
                <w:rtl w:val="0"/>
              </w:rPr>
              <w:t xml:space="preserve">REVENUE FROM RENT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6"/>
                <w:szCs w:val="16"/>
                <w:rtl w:val="0"/>
              </w:rPr>
              <w:t xml:space="preserve">Unit Mix and Restriction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B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Occupancy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No. Units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Current Rents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7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1x1 - 30%ELI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7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88%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b7b7b7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$1,465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$100,558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$105,083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$109,811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$114,753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$119,917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$125,313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$130,952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$136,845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$143,003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$149,438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6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6"/>
                <w:szCs w:val="16"/>
                <w:rtl w:val="0"/>
              </w:rPr>
              <w:t xml:space="preserve">Total ($/month)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8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88%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b7b7b7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$1,465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$100,558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$105,083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$109,811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$114,753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$119,917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$125,313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$130,952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$136,845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$143,003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$149,438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4">
            <w:pPr>
              <w:widowControl w:val="0"/>
              <w:spacing w:after="0" w:line="276" w:lineRule="auto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6"/>
                <w:szCs w:val="16"/>
                <w:rtl w:val="0"/>
              </w:rPr>
              <w:t xml:space="preserve">Total ($/year)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9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88%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b7b7b7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$1,465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$1,206,691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$1,260,992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$1,317,737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$1,377,035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$1,439,002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$1,503,757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$1,571,426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$1,642,140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$1,716,036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$1,793,258</w:t>
            </w:r>
          </w:p>
        </w:tc>
      </w:tr>
    </w:tbl>
    <w:p w:rsidR="00000000" w:rsidDel="00000000" w:rsidP="00000000" w:rsidRDefault="00000000" w:rsidRPr="00000000" w14:paraId="000004A2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e. NOI and Cap Rate</w:t>
      </w:r>
    </w:p>
    <w:tbl>
      <w:tblPr>
        <w:tblStyle w:val="Table9"/>
        <w:tblW w:w="106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80"/>
        <w:gridCol w:w="960"/>
        <w:gridCol w:w="930"/>
        <w:gridCol w:w="915"/>
        <w:gridCol w:w="795"/>
        <w:gridCol w:w="945"/>
        <w:gridCol w:w="915"/>
        <w:gridCol w:w="885"/>
        <w:gridCol w:w="930"/>
        <w:gridCol w:w="960"/>
        <w:gridCol w:w="1050"/>
        <w:tblGridChange w:id="0">
          <w:tblGrid>
            <w:gridCol w:w="1380"/>
            <w:gridCol w:w="960"/>
            <w:gridCol w:w="930"/>
            <w:gridCol w:w="915"/>
            <w:gridCol w:w="795"/>
            <w:gridCol w:w="945"/>
            <w:gridCol w:w="915"/>
            <w:gridCol w:w="885"/>
            <w:gridCol w:w="930"/>
            <w:gridCol w:w="960"/>
            <w:gridCol w:w="1050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Years since purchase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b7b7b7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sz w:val="14"/>
                <w:szCs w:val="14"/>
                <w:rtl w:val="0"/>
              </w:rPr>
              <w:t xml:space="preserve">10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widowControl w:val="0"/>
              <w:spacing w:after="0" w:line="276" w:lineRule="auto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Gregorian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2021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2023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2024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2025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2026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2028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2029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shd w:fill="f3f3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4"/>
                <w:szCs w:val="14"/>
                <w:rtl w:val="0"/>
              </w:rPr>
              <w:t xml:space="preserve">2030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b7b7b7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4B9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Net Operating Income (NOI)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$449,297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$488,450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$529,744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$573,282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$619,174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$667,532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$718,477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$772,132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$828,628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$888,102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4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Cap-rate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4.63%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5.04%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5.46%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5.91%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6.38%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6.88%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7.41%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7.96%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8.54%</w:t>
            </w:r>
          </w:p>
        </w:tc>
        <w:tc>
          <w:tcPr>
            <w:tcBorders>
              <w:top w:color="b7b7b7" w:space="0" w:sz="6" w:val="single"/>
              <w:left w:color="b7b7b7" w:space="0" w:sz="6" w:val="single"/>
              <w:bottom w:color="b7b7b7" w:space="0" w:sz="6" w:val="single"/>
              <w:right w:color="b7b7b7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6"/>
                <w:szCs w:val="16"/>
              </w:rPr>
            </w:pPr>
            <w:r w:rsidDel="00000000" w:rsidR="00000000" w:rsidRPr="00000000">
              <w:rPr>
                <w:rFonts w:ascii="Lato" w:cs="Lato" w:eastAsia="Lato" w:hAnsi="Lato"/>
                <w:sz w:val="16"/>
                <w:szCs w:val="16"/>
                <w:rtl w:val="0"/>
              </w:rPr>
              <w:t xml:space="preserve">9.16%</w:t>
            </w:r>
          </w:p>
        </w:tc>
      </w:tr>
    </w:tbl>
    <w:p w:rsidR="00000000" w:rsidDel="00000000" w:rsidP="00000000" w:rsidRDefault="00000000" w:rsidRPr="00000000" w14:paraId="000004CF">
      <w:pPr>
        <w:spacing w:after="280" w:before="280" w:line="240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f. Cash Flow</w:t>
      </w:r>
      <w:r w:rsidDel="00000000" w:rsidR="00000000" w:rsidRPr="00000000">
        <w:rPr>
          <w:rtl w:val="0"/>
        </w:rPr>
      </w:r>
    </w:p>
    <w:tbl>
      <w:tblPr>
        <w:tblStyle w:val="Table10"/>
        <w:tblW w:w="108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20"/>
        <w:gridCol w:w="645"/>
        <w:gridCol w:w="930"/>
        <w:gridCol w:w="825"/>
        <w:gridCol w:w="975"/>
        <w:gridCol w:w="1005"/>
        <w:gridCol w:w="945"/>
        <w:gridCol w:w="810"/>
        <w:gridCol w:w="840"/>
        <w:gridCol w:w="900"/>
        <w:gridCol w:w="900"/>
        <w:gridCol w:w="1035"/>
        <w:tblGridChange w:id="0">
          <w:tblGrid>
            <w:gridCol w:w="1020"/>
            <w:gridCol w:w="645"/>
            <w:gridCol w:w="930"/>
            <w:gridCol w:w="825"/>
            <w:gridCol w:w="975"/>
            <w:gridCol w:w="1005"/>
            <w:gridCol w:w="945"/>
            <w:gridCol w:w="810"/>
            <w:gridCol w:w="840"/>
            <w:gridCol w:w="900"/>
            <w:gridCol w:w="900"/>
            <w:gridCol w:w="103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Entry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Exit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Date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12/31/2030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Time Periods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1dff"/>
                <w:sz w:val="18"/>
                <w:szCs w:val="18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Year Fraction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F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1.00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NOI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449,297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488,450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529,744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573,282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619,174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667,532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718,477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772,132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828,628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888,102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50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Less: Cash Taxes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98,845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107,459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116,544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126,122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136,218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146,857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158,065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169,869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182,298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195,382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Plus: D&amp;A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161,667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Less: Capex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15,000</w:t>
            </w:r>
          </w:p>
        </w:tc>
      </w:tr>
      <w:tr>
        <w:trPr>
          <w:cantSplit w:val="0"/>
          <w:trHeight w:val="571.5820312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Unlevered FCF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497,118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527,658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518,573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593,827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629,622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667,342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707,079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748,930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792,997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839,386</w:t>
            </w:r>
          </w:p>
        </w:tc>
      </w:tr>
      <w:tr>
        <w:trPr>
          <w:cantSplit w:val="0"/>
          <w:trHeight w:val="556.177778170728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D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(Entry)/Exit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2,910,000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497,118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527,658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518,573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593,827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629,622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667,342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707,079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748,930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792,997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9,167,919</w:t>
            </w:r>
          </w:p>
        </w:tc>
      </w:tr>
    </w:tbl>
    <w:p w:rsidR="00000000" w:rsidDel="00000000" w:rsidP="00000000" w:rsidRDefault="00000000" w:rsidRPr="00000000" w14:paraId="00000549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g. Valuation</w:t>
      </w:r>
      <w:r w:rsidDel="00000000" w:rsidR="00000000" w:rsidRPr="00000000">
        <w:rPr>
          <w:rtl w:val="0"/>
        </w:rPr>
      </w:r>
    </w:p>
    <w:tbl>
      <w:tblPr>
        <w:tblStyle w:val="Table11"/>
        <w:tblW w:w="45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010"/>
        <w:gridCol w:w="2565"/>
        <w:tblGridChange w:id="0">
          <w:tblGrid>
            <w:gridCol w:w="2010"/>
            <w:gridCol w:w="256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B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IRR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0"/>
                <w:szCs w:val="20"/>
                <w:rtl w:val="0"/>
              </w:rPr>
              <w:t xml:space="preserve">23.56%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Cap Rate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E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9.16%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54F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Valuation (NOI/Cap rate)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0"/>
                <w:szCs w:val="20"/>
                <w:rtl w:val="0"/>
              </w:rPr>
              <w:t xml:space="preserve">9,167,918.60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551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Discount Rate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12%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553">
            <w:pPr>
              <w:widowControl w:val="0"/>
              <w:spacing w:after="0" w:line="276" w:lineRule="auto"/>
              <w:jc w:val="right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sz w:val="20"/>
                <w:szCs w:val="20"/>
                <w:rtl w:val="0"/>
              </w:rPr>
              <w:t xml:space="preserve">PV of Equity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20"/>
                <w:szCs w:val="20"/>
                <w:rtl w:val="0"/>
              </w:rPr>
              <w:t xml:space="preserve">5,376,215.65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5">
            <w:pPr>
              <w:widowControl w:val="0"/>
              <w:spacing w:after="0" w:line="276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6">
            <w:pPr>
              <w:widowControl w:val="0"/>
              <w:spacing w:after="0" w:line="276" w:lineRule="auto"/>
              <w:rPr>
                <w:rFonts w:ascii="Lato" w:cs="Lato" w:eastAsia="Lato" w:hAnsi="La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7">
      <w:pPr>
        <w:spacing w:after="280" w:before="280" w:line="240" w:lineRule="auto"/>
        <w:rPr>
          <w:rFonts w:ascii="Lato" w:cs="Lato" w:eastAsia="Lato" w:hAnsi="Lato"/>
          <w:b w:val="1"/>
          <w:bCs w:val="1"/>
          <w:sz w:val="34"/>
          <w:szCs w:val="3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h. Sensitivity Analysis</w:t>
      </w:r>
      <w:r w:rsidDel="00000000" w:rsidR="00000000" w:rsidRPr="00000000">
        <w:rPr>
          <w:rtl w:val="0"/>
        </w:rPr>
      </w:r>
    </w:p>
    <w:tbl>
      <w:tblPr>
        <w:tblStyle w:val="Table12"/>
        <w:tblW w:w="1080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17.760617760618"/>
        <w:gridCol w:w="1042.4710424710427"/>
        <w:gridCol w:w="1042.4710424710427"/>
        <w:gridCol w:w="1042.4710424710427"/>
        <w:gridCol w:w="1042.4710424710427"/>
        <w:gridCol w:w="1042.4710424710427"/>
        <w:gridCol w:w="1042.4710424710427"/>
        <w:gridCol w:w="1042.4710424710427"/>
        <w:gridCol w:w="1042.4710424710427"/>
        <w:gridCol w:w="1042.4710424710427"/>
        <w:tblGridChange w:id="0">
          <w:tblGrid>
            <w:gridCol w:w="1417.760617760618"/>
            <w:gridCol w:w="1042.4710424710427"/>
            <w:gridCol w:w="1042.4710424710427"/>
            <w:gridCol w:w="1042.4710424710427"/>
            <w:gridCol w:w="1042.4710424710427"/>
            <w:gridCol w:w="1042.4710424710427"/>
            <w:gridCol w:w="1042.4710424710427"/>
            <w:gridCol w:w="1042.4710424710427"/>
            <w:gridCol w:w="1042.4710424710427"/>
            <w:gridCol w:w="1042.471042471042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10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6fa8d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Terminal Value Sensitivity Table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 Rate \ Growth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1.50%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2.50%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3.50%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4.50%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12,111,141.03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13,107,335.41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14,269,562.20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15,643,102.95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17,291,351.84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19,305,878.27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21,824,036.31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25,061,668.06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29,378,510.41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9,419,776.35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10,023,256.49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10,702,171.65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11,471,608.83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12,350,965.60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13,365,608.03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14,549,357.54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15,948,334.22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17,627,106.25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7,707,089.74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8,114,064.78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8,561,737.32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9,056,533.28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9,606,306.58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10,220,759.08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10,912,018.15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11,695,445.10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12,590,790.18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6,521,383.63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6,815,814.42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7,134,781.10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7,481,484.02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7,859,705.38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8,273,947.83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8,729,614.52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9,233,246.13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9,792,836.80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7ef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5,651,865.81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ee9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5,875,702.08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6,115,526.66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6,373,116.02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6,650,519.94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6,950,116.18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7,274,678.77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7,627,464.19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8d0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8,012,321.02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0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E">
            <w:pPr>
              <w:widowControl w:val="0"/>
              <w:spacing w:after="0" w:line="276" w:lineRule="auto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10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cfe2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Present Value Sensitivity Table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2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Discount Rate \ Growth Rate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3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1.50%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5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2.50%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7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3%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8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3.50%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9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4.50%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6" w:val="single"/>
              <w:right w:color="cccccc" w:space="0" w:sz="4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B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color w:val="0000ff"/>
                <w:sz w:val="18"/>
                <w:szCs w:val="18"/>
                <w:rtl w:val="0"/>
              </w:rPr>
              <w:t xml:space="preserve">5%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C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8%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5ce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5,609,801.66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fcaf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6,071,232.41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8c5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6,609,568.29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9fbf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7,245,783.42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95b8f2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8,009,241.57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89b0f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8,942,357.10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79a6ee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10,108,751.50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598e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11,608,401.45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4a86e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13,607,934.71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9db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3,631,731.56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5d9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3,864,399.28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1d6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4,126,150.46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cd2f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4,422,801.80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6ce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4,761,831.91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ec9f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5,153,020.49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6c4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5,609,407.16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9cbdf3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6,148,773.24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8fb4f1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6,796,012.53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0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12%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2e1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2,481,476.63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df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2,612,511.70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bdc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2,756,650.28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2,915,961.33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2d6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3,092,973.62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cd2f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3,290,810.88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5cef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3,513,377.80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cc8f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3,765,620.31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1c0f4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4,053,897.46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A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14%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9e6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1,759,102.86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7e4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1,838,523.75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1,924,563.03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0e0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2,018,084.00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cdd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2,120,106.87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7da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2,231,846.21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1d6f8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2,354,759.48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ad1f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2,490,610.99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0cbf5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2,641,557.11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4">
            <w:pPr>
              <w:widowControl w:val="0"/>
              <w:spacing w:after="0" w:line="276" w:lineRule="auto"/>
              <w:jc w:val="center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color w:val="0000ff"/>
                <w:sz w:val="18"/>
                <w:szCs w:val="18"/>
                <w:rtl w:val="0"/>
              </w:rPr>
              <w:t xml:space="preserve">16%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3ed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1,281,185.31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1ebf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1,331,925.32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fea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1,386,289.62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de8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1,444,680.90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ae7fb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1,507,563.82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7e5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1,575,477.38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d4e2fa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1,649,050.40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fdf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1,729,021.07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cadcf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sz w:val="18"/>
                <w:szCs w:val="18"/>
                <w:rtl w:val="0"/>
              </w:rPr>
              <w:t xml:space="preserve">1,816,261.80</w:t>
            </w:r>
          </w:p>
        </w:tc>
      </w:tr>
    </w:tbl>
    <w:p w:rsidR="00000000" w:rsidDel="00000000" w:rsidP="00000000" w:rsidRDefault="00000000" w:rsidRPr="00000000" w14:paraId="000005EE">
      <w:pPr>
        <w:spacing w:before="280" w:line="24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Inter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  <w:font w:name="Nova Mono">
    <w:embedRegular w:fontKey="{00000000-0000-0000-0000-000000000000}" r:id="rId1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CA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F049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F049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F049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F049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F049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9F049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F049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sid w:val="009F0493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sid w:val="009F0493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F0493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F0493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F0493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9F049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9F049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F049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F0493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9F0493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F0493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F049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0493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9F0493"/>
    <w:rPr>
      <w:b w:val="1"/>
      <w:bCs w:val="1"/>
      <w:smallCaps w:val="1"/>
      <w:color w:val="0f4761" w:themeColor="accent1" w:themeShade="0000BF"/>
      <w:spacing w:val="5"/>
    </w:rPr>
  </w:style>
  <w:style w:type="character" w:styleId="Strong">
    <w:name w:val="Strong"/>
    <w:basedOn w:val="DefaultParagraphFont"/>
    <w:uiPriority w:val="22"/>
    <w:qFormat w:val="1"/>
    <w:rsid w:val="009F0493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9F049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</w:rPr>
  </w:style>
  <w:style w:type="character" w:styleId="katex-mathml" w:customStyle="1">
    <w:name w:val="katex-mathml"/>
    <w:basedOn w:val="DefaultParagraphFont"/>
    <w:rsid w:val="009F0493"/>
  </w:style>
  <w:style w:type="character" w:styleId="mord" w:customStyle="1">
    <w:name w:val="mord"/>
    <w:basedOn w:val="DefaultParagraphFont"/>
    <w:rsid w:val="009F0493"/>
  </w:style>
  <w:style w:type="character" w:styleId="mrel" w:customStyle="1">
    <w:name w:val="mrel"/>
    <w:basedOn w:val="DefaultParagraphFont"/>
    <w:rsid w:val="009F0493"/>
  </w:style>
  <w:style w:type="character" w:styleId="mopen" w:customStyle="1">
    <w:name w:val="mopen"/>
    <w:basedOn w:val="DefaultParagraphFont"/>
    <w:rsid w:val="009F0493"/>
  </w:style>
  <w:style w:type="character" w:styleId="mbin" w:customStyle="1">
    <w:name w:val="mbin"/>
    <w:basedOn w:val="DefaultParagraphFont"/>
    <w:rsid w:val="009F0493"/>
  </w:style>
  <w:style w:type="character" w:styleId="mclose" w:customStyle="1">
    <w:name w:val="mclose"/>
    <w:basedOn w:val="DefaultParagraphFont"/>
    <w:rsid w:val="009F0493"/>
  </w:style>
  <w:style w:type="character" w:styleId="vlist-s" w:customStyle="1">
    <w:name w:val="vlist-s"/>
    <w:basedOn w:val="DefaultParagraphFont"/>
    <w:rsid w:val="009F0493"/>
  </w:style>
  <w:style w:type="table" w:styleId="TableGrid">
    <w:name w:val="Table Grid"/>
    <w:basedOn w:val="TableNormal"/>
    <w:uiPriority w:val="39"/>
    <w:rsid w:val="009F049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NotoSansSymbols-regular.ttf"/><Relationship Id="rId10" Type="http://schemas.openxmlformats.org/officeDocument/2006/relationships/font" Target="fonts/Inter-boldItalic.ttf"/><Relationship Id="rId13" Type="http://schemas.openxmlformats.org/officeDocument/2006/relationships/font" Target="fonts/NovaMono-regular.ttf"/><Relationship Id="rId12" Type="http://schemas.openxmlformats.org/officeDocument/2006/relationships/font" Target="fonts/NotoSansSymbols-bold.ttf"/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9" Type="http://schemas.openxmlformats.org/officeDocument/2006/relationships/font" Target="fonts/Inter-italic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Relationship Id="rId7" Type="http://schemas.openxmlformats.org/officeDocument/2006/relationships/font" Target="fonts/Inter-regular.ttf"/><Relationship Id="rId8" Type="http://schemas.openxmlformats.org/officeDocument/2006/relationships/font" Target="fonts/Inter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aO7j0ny6Utx8LA77jFVwJpglnQ==">CgMxLjAaHwoBMBIaChgICVIUChJ0YWJsZS5ham51Y252YjBpOXoaHwoBMRIaChgICVIUChJ0YWJsZS5mbXVsd2Z1ZDZ2c3UaHAoBMhIXChUIB0IRCgRMYXRvEglOb3ZhIE1vbm8aHAoBMxIXChUIB0IRCgRMYXRvEglOb3ZhIE1vbm84AHIhMUNJQ3R1eVRXbVJnZzIxVkJUY19xMVFkOWNVTkZOVVMy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2025-02-02T23:11:00Z</dcterms:created>
  <dc:creator>Accounting</dc:creator>
</cp:coreProperties>
</file>