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E7D5C" w14:textId="77777777" w:rsidR="00D44DED" w:rsidRDefault="00CF40B1">
      <w:pPr>
        <w:spacing w:after="40"/>
      </w:pPr>
      <w:r>
        <w:rPr>
          <w:b/>
          <w:bCs/>
          <w:color w:val="6F6C67"/>
          <w:sz w:val="16"/>
          <w:szCs w:val="16"/>
        </w:rPr>
        <w:t>EQUITY RESEARCH — INVESTMENT MEMO</w:t>
      </w:r>
    </w:p>
    <w:p w14:paraId="119C21B2" w14:textId="77777777" w:rsidR="00D44DED" w:rsidRDefault="00CF40B1">
      <w:pPr>
        <w:spacing w:after="60"/>
      </w:pPr>
      <w:r>
        <w:rPr>
          <w:b/>
          <w:bCs/>
          <w:color w:val="1C1B1A"/>
          <w:sz w:val="40"/>
          <w:szCs w:val="40"/>
        </w:rPr>
        <w:t>Hertz Global Holdings, Inc.</w:t>
      </w:r>
    </w:p>
    <w:p w14:paraId="2DC55307" w14:textId="77777777" w:rsidR="00D44DED" w:rsidRDefault="00CF40B1">
      <w:pPr>
        <w:spacing w:after="200"/>
      </w:pPr>
      <w:r>
        <w:rPr>
          <w:color w:val="6F6C67"/>
        </w:rPr>
        <w:t>NASDAQ: HTZ  |  Car &amp; Mobility Rental  |  Aug 22, 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76"/>
        <w:gridCol w:w="3376"/>
        <w:gridCol w:w="3478"/>
      </w:tblGrid>
      <w:tr w:rsidR="00D44DED" w14:paraId="7E9D4245" w14:textId="77777777">
        <w:tblPrEx>
          <w:tblCellMar>
            <w:top w:w="0" w:type="dxa"/>
            <w:bottom w:w="0" w:type="dxa"/>
          </w:tblCellMar>
        </w:tblPrEx>
        <w:tc>
          <w:tcPr>
            <w:tcW w:w="1650" w:type="pct"/>
            <w:shd w:val="clear" w:color="auto" w:fill="1C1B1A"/>
            <w:tcMar>
              <w:top w:w="80" w:type="dxa"/>
              <w:left w:w="100" w:type="dxa"/>
              <w:bottom w:w="80" w:type="dxa"/>
              <w:right w:w="100" w:type="dxa"/>
            </w:tcMar>
            <w:vAlign w:val="center"/>
          </w:tcPr>
          <w:p w14:paraId="060EF136" w14:textId="77777777" w:rsidR="00D44DED" w:rsidRDefault="00CF40B1">
            <w:r>
              <w:rPr>
                <w:b/>
                <w:bCs/>
                <w:color w:val="FFFFFF"/>
                <w:sz w:val="18"/>
                <w:szCs w:val="18"/>
              </w:rPr>
              <w:t>Rating</w:t>
            </w:r>
          </w:p>
        </w:tc>
        <w:tc>
          <w:tcPr>
            <w:tcW w:w="1650" w:type="pct"/>
            <w:shd w:val="clear" w:color="auto" w:fill="1C1B1A"/>
            <w:tcMar>
              <w:top w:w="80" w:type="dxa"/>
              <w:left w:w="100" w:type="dxa"/>
              <w:bottom w:w="80" w:type="dxa"/>
              <w:right w:w="100" w:type="dxa"/>
            </w:tcMar>
            <w:vAlign w:val="center"/>
          </w:tcPr>
          <w:p w14:paraId="06486AE7" w14:textId="77777777" w:rsidR="00D44DED" w:rsidRDefault="00CF40B1">
            <w:r>
              <w:rPr>
                <w:b/>
                <w:bCs/>
                <w:color w:val="FFFFFF"/>
                <w:sz w:val="18"/>
                <w:szCs w:val="18"/>
              </w:rPr>
              <w:t>Price Target</w:t>
            </w:r>
          </w:p>
        </w:tc>
        <w:tc>
          <w:tcPr>
            <w:tcW w:w="1700" w:type="pct"/>
            <w:shd w:val="clear" w:color="auto" w:fill="1C1B1A"/>
            <w:tcMar>
              <w:top w:w="80" w:type="dxa"/>
              <w:left w:w="100" w:type="dxa"/>
              <w:bottom w:w="80" w:type="dxa"/>
              <w:right w:w="100" w:type="dxa"/>
            </w:tcMar>
            <w:vAlign w:val="center"/>
          </w:tcPr>
          <w:p w14:paraId="2339E1EF" w14:textId="77777777" w:rsidR="00D44DED" w:rsidRDefault="00CF40B1">
            <w:r>
              <w:rPr>
                <w:b/>
                <w:bCs/>
                <w:color w:val="FFFFFF"/>
                <w:sz w:val="18"/>
                <w:szCs w:val="18"/>
              </w:rPr>
              <w:t>Confidence in Dollar Figures</w:t>
            </w:r>
          </w:p>
        </w:tc>
      </w:tr>
      <w:tr w:rsidR="00D44DED" w14:paraId="1090D31F" w14:textId="77777777">
        <w:tblPrEx>
          <w:tblCellMar>
            <w:top w:w="0" w:type="dxa"/>
            <w:bottom w:w="0" w:type="dxa"/>
          </w:tblCellMar>
        </w:tblPrEx>
        <w:tc>
          <w:tcPr>
            <w:tcW w:w="1650" w:type="pct"/>
            <w:tcMar>
              <w:top w:w="80" w:type="dxa"/>
              <w:left w:w="100" w:type="dxa"/>
              <w:bottom w:w="80" w:type="dxa"/>
              <w:right w:w="100" w:type="dxa"/>
            </w:tcMar>
            <w:vAlign w:val="center"/>
          </w:tcPr>
          <w:p w14:paraId="720456F6" w14:textId="77777777" w:rsidR="00D44DED" w:rsidRDefault="00CF40B1">
            <w:r>
              <w:rPr>
                <w:b/>
                <w:bCs/>
                <w:color w:val="B23B3B"/>
                <w:sz w:val="18"/>
                <w:szCs w:val="18"/>
              </w:rPr>
              <w:t>Avoid / High-Risk</w:t>
            </w:r>
          </w:p>
        </w:tc>
        <w:tc>
          <w:tcPr>
            <w:tcW w:w="1650" w:type="pct"/>
            <w:tcMar>
              <w:top w:w="80" w:type="dxa"/>
              <w:left w:w="100" w:type="dxa"/>
              <w:bottom w:w="80" w:type="dxa"/>
              <w:right w:w="100" w:type="dxa"/>
            </w:tcMar>
            <w:vAlign w:val="center"/>
          </w:tcPr>
          <w:p w14:paraId="2B890BFC" w14:textId="77777777" w:rsidR="00D44DED" w:rsidRDefault="00CF40B1">
            <w:r>
              <w:rPr>
                <w:b/>
                <w:bCs/>
                <w:color w:val="1C1B1A"/>
                <w:sz w:val="18"/>
                <w:szCs w:val="18"/>
              </w:rPr>
              <w:t>Not published (see below)</w:t>
            </w:r>
          </w:p>
        </w:tc>
        <w:tc>
          <w:tcPr>
            <w:tcW w:w="1700" w:type="pct"/>
            <w:tcMar>
              <w:top w:w="80" w:type="dxa"/>
              <w:left w:w="100" w:type="dxa"/>
              <w:bottom w:w="80" w:type="dxa"/>
              <w:right w:w="100" w:type="dxa"/>
            </w:tcMar>
            <w:vAlign w:val="center"/>
          </w:tcPr>
          <w:p w14:paraId="439D9CB0" w14:textId="77777777" w:rsidR="00D44DED" w:rsidRDefault="00CF40B1">
            <w:r>
              <w:rPr>
                <w:b/>
                <w:bCs/>
                <w:color w:val="B23B3B"/>
                <w:sz w:val="18"/>
                <w:szCs w:val="18"/>
              </w:rPr>
              <w:t>Low — see Correction Note</w:t>
            </w:r>
          </w:p>
        </w:tc>
      </w:tr>
    </w:tbl>
    <w:p w14:paraId="1F00152B" w14:textId="77777777" w:rsidR="00D44DED" w:rsidRDefault="00D44DED">
      <w:pPr>
        <w:spacing w:before="200" w:after="100"/>
      </w:pPr>
    </w:p>
    <w:p w14:paraId="6138E258" w14:textId="77777777" w:rsidR="00D44DED" w:rsidRDefault="00CF40B1">
      <w:pPr>
        <w:pStyle w:val="Heading1"/>
        <w:pBdr>
          <w:bottom w:val="single" w:sz="8" w:space="4" w:color="2F5DE3"/>
        </w:pBdr>
        <w:spacing w:before="280" w:after="120"/>
      </w:pPr>
      <w:r>
        <w:rPr>
          <w:b/>
          <w:bCs/>
          <w:color w:val="1C1B1A"/>
          <w:sz w:val="24"/>
          <w:szCs w:val="24"/>
        </w:rPr>
        <w:t>Correction Note — Read Before the Rest of This Memo</w:t>
      </w:r>
    </w:p>
    <w:p w14:paraId="5E502DFF" w14:textId="77777777" w:rsidR="00D44DED" w:rsidRDefault="00CF40B1">
      <w:pPr>
        <w:spacing w:after="140" w:line="268" w:lineRule="auto"/>
      </w:pPr>
      <w:r>
        <w:rPr>
          <w:b/>
          <w:bCs/>
          <w:color w:val="1C1B1A"/>
        </w:rPr>
        <w:t>An earlier draft of this memo rated HTZ a Speculative Buy with an $8.29 price target. A post-draft accuracy review found that the supporting model's "Adj. EBITDA" figure (built as EBIT + D&amp;A from a simplified income statement) is roughly 10x larger than what Hertz itself reports as "Adjusted Corporate EBITDA" — the company's own guided metric was NEGATIVE $339 million for full-year 2025, versus this model's +$2,296 million for the same year. That is not a rounding difference; it invalidates the dollar scale</w:t>
      </w:r>
      <w:r>
        <w:rPr>
          <w:b/>
          <w:bCs/>
          <w:color w:val="1C1B1A"/>
        </w:rPr>
        <w:t xml:space="preserve"> of both the Relative Valuation and Precedent Transaction price targets, which were built on the inflated figure.</w:t>
      </w:r>
    </w:p>
    <w:p w14:paraId="45017C48" w14:textId="77777777" w:rsidR="00D44DED" w:rsidRDefault="00CF40B1">
      <w:pPr>
        <w:spacing w:after="140" w:line="268" w:lineRule="auto"/>
      </w:pPr>
      <w:r>
        <w:rPr>
          <w:color w:val="1C1B1A"/>
        </w:rPr>
        <w:t>The table below shows all four valuation attempts and which ones survive the correction. The takeaway: the DCF's caution, which this memo's earlier draft treated as the outlier to be explained away, turns out to be the better-supported conclusion once a second, independently-built method (using management's own guidance) is checked against 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80"/>
        <w:gridCol w:w="2046"/>
        <w:gridCol w:w="4604"/>
      </w:tblGrid>
      <w:tr w:rsidR="00D44DED" w14:paraId="63DEAAEA" w14:textId="77777777">
        <w:tblPrEx>
          <w:tblCellMar>
            <w:top w:w="0" w:type="dxa"/>
            <w:bottom w:w="0" w:type="dxa"/>
          </w:tblCellMar>
        </w:tblPrEx>
        <w:tc>
          <w:tcPr>
            <w:tcW w:w="1750" w:type="pct"/>
            <w:shd w:val="clear" w:color="auto" w:fill="1C1B1A"/>
            <w:tcMar>
              <w:top w:w="80" w:type="dxa"/>
              <w:left w:w="100" w:type="dxa"/>
              <w:bottom w:w="80" w:type="dxa"/>
              <w:right w:w="100" w:type="dxa"/>
            </w:tcMar>
            <w:vAlign w:val="center"/>
          </w:tcPr>
          <w:p w14:paraId="6509BE88" w14:textId="77777777" w:rsidR="00D44DED" w:rsidRDefault="00CF40B1">
            <w:r>
              <w:rPr>
                <w:b/>
                <w:bCs/>
                <w:color w:val="FFFFFF"/>
                <w:sz w:val="18"/>
                <w:szCs w:val="18"/>
              </w:rPr>
              <w:t>Method</w:t>
            </w:r>
          </w:p>
        </w:tc>
        <w:tc>
          <w:tcPr>
            <w:tcW w:w="1000" w:type="pct"/>
            <w:shd w:val="clear" w:color="auto" w:fill="1C1B1A"/>
            <w:tcMar>
              <w:top w:w="80" w:type="dxa"/>
              <w:left w:w="100" w:type="dxa"/>
              <w:bottom w:w="80" w:type="dxa"/>
              <w:right w:w="100" w:type="dxa"/>
            </w:tcMar>
            <w:vAlign w:val="center"/>
          </w:tcPr>
          <w:p w14:paraId="41DF4238" w14:textId="77777777" w:rsidR="00D44DED" w:rsidRDefault="00CF40B1">
            <w:pPr>
              <w:jc w:val="center"/>
            </w:pPr>
            <w:r>
              <w:rPr>
                <w:b/>
                <w:bCs/>
                <w:color w:val="FFFFFF"/>
                <w:sz w:val="18"/>
                <w:szCs w:val="18"/>
              </w:rPr>
              <w:t>Implied Price</w:t>
            </w:r>
          </w:p>
        </w:tc>
        <w:tc>
          <w:tcPr>
            <w:tcW w:w="2250" w:type="pct"/>
            <w:shd w:val="clear" w:color="auto" w:fill="1C1B1A"/>
            <w:tcMar>
              <w:top w:w="80" w:type="dxa"/>
              <w:left w:w="100" w:type="dxa"/>
              <w:bottom w:w="80" w:type="dxa"/>
              <w:right w:w="100" w:type="dxa"/>
            </w:tcMar>
            <w:vAlign w:val="center"/>
          </w:tcPr>
          <w:p w14:paraId="2CFC3DE1" w14:textId="77777777" w:rsidR="00D44DED" w:rsidRDefault="00CF40B1">
            <w:r>
              <w:rPr>
                <w:b/>
                <w:bCs/>
                <w:color w:val="FFFFFF"/>
                <w:sz w:val="18"/>
                <w:szCs w:val="18"/>
              </w:rPr>
              <w:t>Status</w:t>
            </w:r>
          </w:p>
        </w:tc>
      </w:tr>
      <w:tr w:rsidR="00D44DED" w14:paraId="596C5968" w14:textId="77777777">
        <w:tblPrEx>
          <w:tblCellMar>
            <w:top w:w="0" w:type="dxa"/>
            <w:bottom w:w="0" w:type="dxa"/>
          </w:tblCellMar>
        </w:tblPrEx>
        <w:tc>
          <w:tcPr>
            <w:tcW w:w="1000" w:type="pct"/>
            <w:tcMar>
              <w:top w:w="80" w:type="dxa"/>
              <w:left w:w="100" w:type="dxa"/>
              <w:bottom w:w="80" w:type="dxa"/>
              <w:right w:w="100" w:type="dxa"/>
            </w:tcMar>
            <w:vAlign w:val="center"/>
          </w:tcPr>
          <w:p w14:paraId="704FCC77" w14:textId="77777777" w:rsidR="00D44DED" w:rsidRDefault="00CF40B1">
            <w:r>
              <w:rPr>
                <w:color w:val="1C1B1A"/>
                <w:sz w:val="18"/>
                <w:szCs w:val="18"/>
              </w:rPr>
              <w:t>DCF (driver-based cash flows)</w:t>
            </w:r>
          </w:p>
        </w:tc>
        <w:tc>
          <w:tcPr>
            <w:tcW w:w="1000" w:type="pct"/>
            <w:tcMar>
              <w:top w:w="80" w:type="dxa"/>
              <w:left w:w="100" w:type="dxa"/>
              <w:bottom w:w="80" w:type="dxa"/>
              <w:right w:w="100" w:type="dxa"/>
            </w:tcMar>
            <w:vAlign w:val="center"/>
          </w:tcPr>
          <w:p w14:paraId="4063DBEE" w14:textId="77777777" w:rsidR="00D44DED" w:rsidRDefault="00CF40B1">
            <w:pPr>
              <w:jc w:val="center"/>
            </w:pPr>
            <w:r>
              <w:rPr>
                <w:b/>
                <w:bCs/>
                <w:color w:val="B23B3B"/>
                <w:sz w:val="18"/>
                <w:szCs w:val="18"/>
              </w:rPr>
              <w:t>−$24.13</w:t>
            </w:r>
          </w:p>
        </w:tc>
        <w:tc>
          <w:tcPr>
            <w:tcW w:w="1000" w:type="pct"/>
            <w:tcMar>
              <w:top w:w="80" w:type="dxa"/>
              <w:left w:w="100" w:type="dxa"/>
              <w:bottom w:w="80" w:type="dxa"/>
              <w:right w:w="100" w:type="dxa"/>
            </w:tcMar>
            <w:vAlign w:val="center"/>
          </w:tcPr>
          <w:p w14:paraId="51F9061D" w14:textId="77777777" w:rsidR="00D44DED" w:rsidRDefault="00CF40B1">
            <w:r>
              <w:rPr>
                <w:color w:val="1C1B1A"/>
                <w:sz w:val="15"/>
                <w:szCs w:val="15"/>
              </w:rPr>
              <w:t>Trusted — built independently of the flawed EBITDA line</w:t>
            </w:r>
          </w:p>
        </w:tc>
      </w:tr>
      <w:tr w:rsidR="00D44DED" w14:paraId="10275FC2" w14:textId="77777777">
        <w:tblPrEx>
          <w:tblCellMar>
            <w:top w:w="0" w:type="dxa"/>
            <w:bottom w:w="0" w:type="dxa"/>
          </w:tblCellMar>
        </w:tblPrEx>
        <w:tc>
          <w:tcPr>
            <w:tcW w:w="1000" w:type="pct"/>
            <w:tcMar>
              <w:top w:w="80" w:type="dxa"/>
              <w:left w:w="100" w:type="dxa"/>
              <w:bottom w:w="80" w:type="dxa"/>
              <w:right w:w="100" w:type="dxa"/>
            </w:tcMar>
            <w:vAlign w:val="center"/>
          </w:tcPr>
          <w:p w14:paraId="2CAEC093" w14:textId="77777777" w:rsidR="00D44DED" w:rsidRDefault="00CF40B1">
            <w:r>
              <w:rPr>
                <w:color w:val="1C1B1A"/>
                <w:sz w:val="18"/>
                <w:szCs w:val="18"/>
              </w:rPr>
              <w:t>Cross-check: mgmt's own 2027 EBITDA target × peer multiple</w:t>
            </w:r>
          </w:p>
        </w:tc>
        <w:tc>
          <w:tcPr>
            <w:tcW w:w="1000" w:type="pct"/>
            <w:tcMar>
              <w:top w:w="80" w:type="dxa"/>
              <w:left w:w="100" w:type="dxa"/>
              <w:bottom w:w="80" w:type="dxa"/>
              <w:right w:w="100" w:type="dxa"/>
            </w:tcMar>
            <w:vAlign w:val="center"/>
          </w:tcPr>
          <w:p w14:paraId="471EA06B" w14:textId="77777777" w:rsidR="00D44DED" w:rsidRDefault="00CF40B1">
            <w:pPr>
              <w:jc w:val="center"/>
            </w:pPr>
            <w:r>
              <w:rPr>
                <w:b/>
                <w:bCs/>
                <w:color w:val="B23B3B"/>
                <w:sz w:val="18"/>
                <w:szCs w:val="18"/>
              </w:rPr>
              <w:t>−$23.10</w:t>
            </w:r>
          </w:p>
        </w:tc>
        <w:tc>
          <w:tcPr>
            <w:tcW w:w="1000" w:type="pct"/>
            <w:tcMar>
              <w:top w:w="80" w:type="dxa"/>
              <w:left w:w="100" w:type="dxa"/>
              <w:bottom w:w="80" w:type="dxa"/>
              <w:right w:w="100" w:type="dxa"/>
            </w:tcMar>
            <w:vAlign w:val="center"/>
          </w:tcPr>
          <w:p w14:paraId="7CFCFA9D" w14:textId="77777777" w:rsidR="00D44DED" w:rsidRDefault="00CF40B1">
            <w:r>
              <w:rPr>
                <w:color w:val="1C1B1A"/>
                <w:sz w:val="15"/>
                <w:szCs w:val="15"/>
              </w:rPr>
              <w:t>Trusted — independently built, converges with the DCF within 5%</w:t>
            </w:r>
          </w:p>
        </w:tc>
      </w:tr>
      <w:tr w:rsidR="00D44DED" w14:paraId="6ABD8601" w14:textId="77777777">
        <w:tblPrEx>
          <w:tblCellMar>
            <w:top w:w="0" w:type="dxa"/>
            <w:bottom w:w="0" w:type="dxa"/>
          </w:tblCellMar>
        </w:tblPrEx>
        <w:tc>
          <w:tcPr>
            <w:tcW w:w="1000" w:type="pct"/>
            <w:shd w:val="clear" w:color="auto" w:fill="FBE7E7"/>
            <w:tcMar>
              <w:top w:w="80" w:type="dxa"/>
              <w:left w:w="100" w:type="dxa"/>
              <w:bottom w:w="80" w:type="dxa"/>
              <w:right w:w="100" w:type="dxa"/>
            </w:tcMar>
            <w:vAlign w:val="center"/>
          </w:tcPr>
          <w:p w14:paraId="51915FBB" w14:textId="77777777" w:rsidR="00D44DED" w:rsidRDefault="00CF40B1">
            <w:r>
              <w:rPr>
                <w:color w:val="1C1B1A"/>
                <w:sz w:val="18"/>
                <w:szCs w:val="18"/>
              </w:rPr>
              <w:t>Comps (peer median × model EBITDA)</w:t>
            </w:r>
          </w:p>
        </w:tc>
        <w:tc>
          <w:tcPr>
            <w:tcW w:w="1000" w:type="pct"/>
            <w:shd w:val="clear" w:color="auto" w:fill="FBE7E7"/>
            <w:tcMar>
              <w:top w:w="80" w:type="dxa"/>
              <w:left w:w="100" w:type="dxa"/>
              <w:bottom w:w="80" w:type="dxa"/>
              <w:right w:w="100" w:type="dxa"/>
            </w:tcMar>
            <w:vAlign w:val="center"/>
          </w:tcPr>
          <w:p w14:paraId="511262FF" w14:textId="77777777" w:rsidR="00D44DED" w:rsidRDefault="00CF40B1">
            <w:pPr>
              <w:jc w:val="center"/>
            </w:pPr>
            <w:r>
              <w:rPr>
                <w:b/>
                <w:bCs/>
                <w:color w:val="1C1B1A"/>
                <w:sz w:val="18"/>
                <w:szCs w:val="18"/>
              </w:rPr>
              <w:t>+$8.29</w:t>
            </w:r>
          </w:p>
        </w:tc>
        <w:tc>
          <w:tcPr>
            <w:tcW w:w="1000" w:type="pct"/>
            <w:shd w:val="clear" w:color="auto" w:fill="FBE7E7"/>
            <w:tcMar>
              <w:top w:w="80" w:type="dxa"/>
              <w:left w:w="100" w:type="dxa"/>
              <w:bottom w:w="80" w:type="dxa"/>
              <w:right w:w="100" w:type="dxa"/>
            </w:tcMar>
            <w:vAlign w:val="center"/>
          </w:tcPr>
          <w:p w14:paraId="496CB737" w14:textId="77777777" w:rsidR="00D44DED" w:rsidRDefault="00CF40B1">
            <w:r>
              <w:rPr>
                <w:color w:val="1C1B1A"/>
                <w:sz w:val="15"/>
                <w:szCs w:val="15"/>
              </w:rPr>
              <w:t>NOT trusted — built on an EBITDA figure ~10x too large</w:t>
            </w:r>
          </w:p>
        </w:tc>
      </w:tr>
      <w:tr w:rsidR="00D44DED" w14:paraId="10FBCE0C" w14:textId="77777777">
        <w:tblPrEx>
          <w:tblCellMar>
            <w:top w:w="0" w:type="dxa"/>
            <w:bottom w:w="0" w:type="dxa"/>
          </w:tblCellMar>
        </w:tblPrEx>
        <w:tc>
          <w:tcPr>
            <w:tcW w:w="1000" w:type="pct"/>
            <w:shd w:val="clear" w:color="auto" w:fill="FBE7E7"/>
            <w:tcMar>
              <w:top w:w="80" w:type="dxa"/>
              <w:left w:w="100" w:type="dxa"/>
              <w:bottom w:w="80" w:type="dxa"/>
              <w:right w:w="100" w:type="dxa"/>
            </w:tcMar>
            <w:vAlign w:val="center"/>
          </w:tcPr>
          <w:p w14:paraId="03CACA14" w14:textId="77777777" w:rsidR="00D44DED" w:rsidRDefault="00CF40B1">
            <w:r>
              <w:rPr>
                <w:color w:val="1C1B1A"/>
                <w:sz w:val="18"/>
                <w:szCs w:val="18"/>
              </w:rPr>
              <w:t>Precedent Transaction (Europcar multiple)</w:t>
            </w:r>
          </w:p>
        </w:tc>
        <w:tc>
          <w:tcPr>
            <w:tcW w:w="1000" w:type="pct"/>
            <w:shd w:val="clear" w:color="auto" w:fill="FBE7E7"/>
            <w:tcMar>
              <w:top w:w="80" w:type="dxa"/>
              <w:left w:w="100" w:type="dxa"/>
              <w:bottom w:w="80" w:type="dxa"/>
              <w:right w:w="100" w:type="dxa"/>
            </w:tcMar>
            <w:vAlign w:val="center"/>
          </w:tcPr>
          <w:p w14:paraId="15B72275" w14:textId="77777777" w:rsidR="00D44DED" w:rsidRDefault="00CF40B1">
            <w:pPr>
              <w:jc w:val="center"/>
            </w:pPr>
            <w:r>
              <w:rPr>
                <w:b/>
                <w:bCs/>
                <w:color w:val="1C1B1A"/>
                <w:sz w:val="18"/>
                <w:szCs w:val="18"/>
              </w:rPr>
              <w:t>+$20.26</w:t>
            </w:r>
          </w:p>
        </w:tc>
        <w:tc>
          <w:tcPr>
            <w:tcW w:w="1000" w:type="pct"/>
            <w:shd w:val="clear" w:color="auto" w:fill="FBE7E7"/>
            <w:tcMar>
              <w:top w:w="80" w:type="dxa"/>
              <w:left w:w="100" w:type="dxa"/>
              <w:bottom w:w="80" w:type="dxa"/>
              <w:right w:w="100" w:type="dxa"/>
            </w:tcMar>
            <w:vAlign w:val="center"/>
          </w:tcPr>
          <w:p w14:paraId="2DB19708" w14:textId="77777777" w:rsidR="00D44DED" w:rsidRDefault="00CF40B1">
            <w:r>
              <w:rPr>
                <w:color w:val="1C1B1A"/>
                <w:sz w:val="15"/>
                <w:szCs w:val="15"/>
              </w:rPr>
              <w:t>NOT trusted — same flawed EBITDA base</w:t>
            </w:r>
          </w:p>
        </w:tc>
      </w:tr>
    </w:tbl>
    <w:p w14:paraId="271C686B" w14:textId="77777777" w:rsidR="00D44DED" w:rsidRDefault="00CF40B1">
      <w:pPr>
        <w:spacing w:after="160"/>
      </w:pPr>
      <w:r>
        <w:rPr>
          <w:i/>
          <w:iCs/>
          <w:color w:val="6F6C67"/>
          <w:sz w:val="16"/>
          <w:szCs w:val="16"/>
        </w:rPr>
        <w:t>Two methods built without touching the flawed EBITDA line converge within 5% of each other on a deeply negative implied equity value; the two that used it do not survive the correction.</w:t>
      </w:r>
    </w:p>
    <w:p w14:paraId="07DEA458" w14:textId="77777777" w:rsidR="00D44DED" w:rsidRDefault="00CF40B1">
      <w:pPr>
        <w:spacing w:after="140" w:line="268" w:lineRule="auto"/>
      </w:pPr>
      <w:r>
        <w:rPr>
          <w:color w:val="1C1B1A"/>
        </w:rPr>
        <w:t>This memo has been rewritten below to reflect that finding rather than patch over it. No specific positive price target is published. That is itself a legitimate, useful output of the diligence process — it means the honest next step is a full income-statement rebuild anchored on Hertz's own metric definitions, not a confident number delivered on a flawed base.</w:t>
      </w:r>
    </w:p>
    <w:p w14:paraId="035384C9" w14:textId="77777777" w:rsidR="00D44DED" w:rsidRDefault="00CF40B1">
      <w:pPr>
        <w:pStyle w:val="Heading1"/>
        <w:pBdr>
          <w:bottom w:val="single" w:sz="8" w:space="4" w:color="2F5DE3"/>
        </w:pBdr>
        <w:spacing w:before="280" w:after="120"/>
      </w:pPr>
      <w:r>
        <w:rPr>
          <w:b/>
          <w:bCs/>
          <w:color w:val="1C1B1A"/>
          <w:sz w:val="24"/>
          <w:szCs w:val="24"/>
        </w:rPr>
        <w:t>Executive Summary</w:t>
      </w:r>
    </w:p>
    <w:p w14:paraId="3619CB11" w14:textId="77777777" w:rsidR="00D44DED" w:rsidRDefault="00CF40B1">
      <w:pPr>
        <w:spacing w:after="140" w:line="268" w:lineRule="auto"/>
      </w:pPr>
      <w:r>
        <w:rPr>
          <w:color w:val="1C1B1A"/>
        </w:rPr>
        <w:t>Hertz's operating turnaround is real: utilization is up from 79% to 84%+, depreciation per unit is down 44% year-over-year to at-or-below the company's own $300/month target, and Adjusted Corporate EBITDA has beaten management's own guidance for two consecutive quarters (Q1 and Q2 2026). None of that is in question. What is in question is whether that operating improvement is large enough, relative to the company's debt load, to leave anything for equity holders.</w:t>
      </w:r>
    </w:p>
    <w:p w14:paraId="16901FED" w14:textId="77777777" w:rsidR="00D44DED" w:rsidRDefault="00CF40B1">
      <w:pPr>
        <w:spacing w:after="140" w:line="268" w:lineRule="auto"/>
      </w:pPr>
      <w:r>
        <w:rPr>
          <w:color w:val="1C1B1A"/>
        </w:rPr>
        <w:t>On a corrected, apples-to-apples basis, it likely isn't — not yet. Management's own guided 2027 Adjusted Corporate EBITDA run-rate target is $1 billion. Applying even a healthy peer-level multiple (7.93x) to that figure implies an Enterprise Value of roughly $7.9 billion, against Net Debt of $16.2–21 billion depending on the reporting date used — Net Debt alone is roughly double the Enterprise Value the turnaround's own stated destination would produce. This is not a fringe result: an independently-built DC</w:t>
      </w:r>
      <w:r>
        <w:rPr>
          <w:color w:val="1C1B1A"/>
        </w:rPr>
        <w:t>F, using this model's own driver-based cash-flow projections and a 7.9% WACC, reaches the same conclusion (implied price ≈ −$24/share) using a completely different method. Two different roads arrive at the same place.</w:t>
      </w:r>
    </w:p>
    <w:p w14:paraId="32257BEC" w14:textId="77777777" w:rsidR="00D44DED" w:rsidRDefault="00CF40B1">
      <w:pPr>
        <w:spacing w:after="140" w:line="268" w:lineRule="auto"/>
      </w:pPr>
      <w:r>
        <w:rPr>
          <w:b/>
          <w:bCs/>
          <w:color w:val="1C1B1A"/>
        </w:rPr>
        <w:t>We rate HTZ Avoid / High-Risk. This is not a claim that the company is worthless or that the operating story is fake — it is a claim that, at today's leverage, standard valuation methods cannot support a positive equity price target with any real confidence, and a name where the honest answer is uncertainty rather than a number that looks precise but rests on a bad input.</w:t>
      </w:r>
    </w:p>
    <w:p w14:paraId="630FE8BF" w14:textId="77777777" w:rsidR="00D44DED" w:rsidRDefault="00CF40B1">
      <w:pPr>
        <w:pStyle w:val="Heading1"/>
        <w:pBdr>
          <w:bottom w:val="single" w:sz="8" w:space="4" w:color="2F5DE3"/>
        </w:pBdr>
        <w:spacing w:before="280" w:after="120"/>
      </w:pPr>
      <w:r>
        <w:rPr>
          <w:b/>
          <w:bCs/>
          <w:color w:val="1C1B1A"/>
          <w:sz w:val="24"/>
          <w:szCs w:val="24"/>
        </w:rPr>
        <w:lastRenderedPageBreak/>
        <w:t>Business Overview</w:t>
      </w:r>
    </w:p>
    <w:p w14:paraId="7460C352" w14:textId="77777777" w:rsidR="00D44DED" w:rsidRDefault="00CF40B1">
      <w:pPr>
        <w:spacing w:after="140" w:line="268" w:lineRule="auto"/>
      </w:pPr>
      <w:r>
        <w:rPr>
          <w:color w:val="1C1B1A"/>
        </w:rPr>
        <w:t xml:space="preserve">Hertz rents cars, vans, and other vehicles to individuals and businesses on a short-term basis, primarily through the Hertz, Dollar, and Thrifty brands, from approximately 11,000 company-operated and franchisee locations in roughly 160 countries. The business runs through two segments — Americas RAC (U.S., Canada, Latin America, Caribbean; $6,759M of FY2025 revenue, 79% of the consolidated total) and International RAC (primarily Europe) — and also operates Hertz Car Sales, a used-vehicle retail channel for </w:t>
      </w:r>
      <w:r>
        <w:rPr>
          <w:color w:val="1C1B1A"/>
        </w:rPr>
        <w:t>cars rotated out of the rental fleet. Customers span leisure and business travelers, insurance-replacement renters, and ride-share drivers; a newer growth vector, the Oro Mobility platform, is Hertz's own owned-and-operated ride-hail fleet, already logging 4M+ miles on the Uber platform across four U.S. metro areas.</w:t>
      </w:r>
    </w:p>
    <w:p w14:paraId="3F321C1F" w14:textId="77777777" w:rsidR="00D44DED" w:rsidRDefault="00CF40B1">
      <w:pPr>
        <w:spacing w:after="140" w:line="268" w:lineRule="auto"/>
      </w:pPr>
      <w:r>
        <w:rPr>
          <w:color w:val="1C1B1A"/>
        </w:rPr>
        <w:t>Principal competitors are Avis Budget Group (Avis, Budget, ZipCar, Payless) and SIXT — both named explicitly in Hertz's own 10-K — plus Enterprise Holdings (private, no public comparison data) and, increasingly, peer-to-peer platforms and ride-hailing services that the company itself flags as "non-traditional" competitors for vehicle-rental market share.</w:t>
      </w:r>
    </w:p>
    <w:p w14:paraId="006DAA81" w14:textId="77777777" w:rsidR="00D44DED" w:rsidRDefault="00CF40B1">
      <w:pPr>
        <w:pStyle w:val="Heading1"/>
        <w:pBdr>
          <w:bottom w:val="single" w:sz="8" w:space="4" w:color="2F5DE3"/>
        </w:pBdr>
        <w:spacing w:before="280" w:after="120"/>
      </w:pPr>
      <w:r>
        <w:rPr>
          <w:b/>
          <w:bCs/>
          <w:color w:val="1C1B1A"/>
          <w:sz w:val="24"/>
          <w:szCs w:val="24"/>
        </w:rPr>
        <w:t>What the Correction Doesn't Change</w:t>
      </w:r>
    </w:p>
    <w:p w14:paraId="0A32D728" w14:textId="77777777" w:rsidR="00D44DED" w:rsidRDefault="00CF40B1">
      <w:pPr>
        <w:pStyle w:val="ListParagraph"/>
        <w:numPr>
          <w:ilvl w:val="0"/>
          <w:numId w:val="1"/>
        </w:numPr>
        <w:spacing w:after="90" w:line="260" w:lineRule="auto"/>
      </w:pPr>
      <w:r>
        <w:rPr>
          <w:color w:val="1C1B1A"/>
        </w:rPr>
        <w:t>Pricing-led operating improvement is real and three quarters deep. FY2025 revenue growth came entirely from pricing and utilization (RPU/RPD up, utilization 79%→81%→84%+), not volume — Transaction Days actually fell 1–3% over the same period. Adjusted Corporate EBITDA beat management's own guidance in Q1 2026 and Q2 2026 (the latter beating the top end of the $50–80M guidance range).</w:t>
      </w:r>
    </w:p>
    <w:p w14:paraId="5B74C72A" w14:textId="77777777" w:rsidR="00D44DED" w:rsidRDefault="00CF40B1">
      <w:pPr>
        <w:pStyle w:val="ListParagraph"/>
        <w:numPr>
          <w:ilvl w:val="0"/>
          <w:numId w:val="1"/>
        </w:numPr>
        <w:spacing w:after="90" w:line="260" w:lineRule="auto"/>
      </w:pPr>
      <w:r>
        <w:rPr>
          <w:color w:val="1C1B1A"/>
        </w:rPr>
        <w:t>Fleet economics have structurally improved. Net DPU fell 44% year-over-year to at-or-below $300, held for three straight quarters after reversing an EV-heavy fleet strategy ($223M of incremental depreciation from EV dispositions, recognized in fiscal 2024).</w:t>
      </w:r>
    </w:p>
    <w:p w14:paraId="2A096CFD" w14:textId="77777777" w:rsidR="00D44DED" w:rsidRDefault="00CF40B1">
      <w:pPr>
        <w:pStyle w:val="ListParagraph"/>
        <w:numPr>
          <w:ilvl w:val="0"/>
          <w:numId w:val="1"/>
        </w:numPr>
        <w:spacing w:after="90" w:line="260" w:lineRule="auto"/>
      </w:pPr>
      <w:r>
        <w:rPr>
          <w:color w:val="1C1B1A"/>
        </w:rPr>
        <w:t>Management has been transparent about the scale of the gap. The $1 billion 2027 Adjusted Corporate EBITDA target, reaffirmed on the Q2 2026 call, is itself the number this memo's corrected valuation uses — management is not claiming a bigger number than what this memo's DCF converges toward independently.</w:t>
      </w:r>
    </w:p>
    <w:p w14:paraId="46A6F615" w14:textId="77777777" w:rsidR="00D44DED" w:rsidRDefault="00CF40B1">
      <w:pPr>
        <w:pStyle w:val="ListParagraph"/>
        <w:numPr>
          <w:ilvl w:val="0"/>
          <w:numId w:val="1"/>
        </w:numPr>
        <w:spacing w:after="90" w:line="260" w:lineRule="auto"/>
      </w:pPr>
      <w:r>
        <w:rPr>
          <w:color w:val="1C1B1A"/>
        </w:rPr>
        <w:t>The DCF's warning — flagged as the most important finding in this workbook even before this correction — is now better corroborated, not undermined. What changed is confidence in the Comps-based optimism that had been used to lean against it.</w:t>
      </w:r>
    </w:p>
    <w:p w14:paraId="0E3B6B1C" w14:textId="77777777" w:rsidR="00D44DED" w:rsidRDefault="00CF40B1">
      <w:pPr>
        <w:pStyle w:val="Heading1"/>
        <w:pBdr>
          <w:bottom w:val="single" w:sz="8" w:space="4" w:color="2F5DE3"/>
        </w:pBdr>
        <w:spacing w:before="280" w:after="120"/>
      </w:pPr>
      <w:r>
        <w:rPr>
          <w:b/>
          <w:bCs/>
          <w:color w:val="1C1B1A"/>
          <w:sz w:val="24"/>
          <w:szCs w:val="24"/>
        </w:rPr>
        <w:t>Management Team &amp; Board</w:t>
      </w:r>
    </w:p>
    <w:p w14:paraId="1888BEBB" w14:textId="77777777" w:rsidR="00D44DED" w:rsidRDefault="00CF40B1">
      <w:pPr>
        <w:spacing w:after="140" w:line="268" w:lineRule="auto"/>
      </w:pPr>
      <w:r>
        <w:rPr>
          <w:color w:val="1C1B1A"/>
        </w:rPr>
        <w:t>CEO West W. Gilbert, CFO Scott Haralson, COO Michael S. Moore, and CCO Sandeep Dube lead the operating team; board members include Vincent J. Intrieri, Francis S. Blake, and Evangeline Vougessis, among others. We were not able to build a full assessment of management's track record and tenure — that requires Investor Day materials and extended earnings-call history beyond what this research covered, and is flagged here as an open item rather than glossed over. What we can say from the Form 4 record: no dire</w:t>
      </w:r>
      <w:r>
        <w:rPr>
          <w:color w:val="1C1B1A"/>
        </w:rPr>
        <w:t>ctor or named executive officer has made a single open-market purchase of HTZ stock in the trailing twelve months. The one open-market transaction on record is a sale — COO Michael Moore sold ~40,919 shares in May 2026. All other officer/director filings in the period are routine RSU grants or tax-withholding dispositions, not discretionary trades. Given the leverage picture this memo now presents, the absence of insider buying reads as consistent with the corrected conclusion, not as a data point that need</w:t>
      </w:r>
      <w:r>
        <w:rPr>
          <w:color w:val="1C1B1A"/>
        </w:rPr>
        <w:t>ed reinterpreting.</w:t>
      </w:r>
    </w:p>
    <w:p w14:paraId="5109D031" w14:textId="77777777" w:rsidR="00D44DED" w:rsidRDefault="00D44DED">
      <w:pPr>
        <w:pageBreakBefore/>
      </w:pPr>
    </w:p>
    <w:p w14:paraId="0084D3DA" w14:textId="77777777" w:rsidR="00D44DED" w:rsidRDefault="00CF40B1">
      <w:pPr>
        <w:pStyle w:val="Heading1"/>
        <w:pBdr>
          <w:bottom w:val="single" w:sz="8" w:space="4" w:color="2F5DE3"/>
        </w:pBdr>
        <w:spacing w:before="280" w:after="120"/>
      </w:pPr>
      <w:r>
        <w:rPr>
          <w:b/>
          <w:bCs/>
          <w:color w:val="1C1B1A"/>
          <w:sz w:val="24"/>
          <w:szCs w:val="24"/>
        </w:rPr>
        <w:t>Valuation</w:t>
      </w:r>
    </w:p>
    <w:p w14:paraId="02C002D4" w14:textId="77777777" w:rsidR="00D44DED" w:rsidRDefault="00CF40B1">
      <w:pPr>
        <w:pStyle w:val="Heading2"/>
        <w:spacing w:before="200" w:after="100"/>
      </w:pPr>
      <w:r>
        <w:rPr>
          <w:b/>
          <w:bCs/>
          <w:color w:val="2F5DE3"/>
          <w:sz w:val="20"/>
          <w:szCs w:val="20"/>
        </w:rPr>
        <w:t>What Survived the Correction, and What Didn't</w:t>
      </w:r>
    </w:p>
    <w:p w14:paraId="1B392E13" w14:textId="77777777" w:rsidR="00D44DED" w:rsidRDefault="00CF40B1">
      <w:pPr>
        <w:spacing w:after="140" w:line="268" w:lineRule="auto"/>
      </w:pPr>
      <w:r>
        <w:rPr>
          <w:color w:val="1C1B1A"/>
        </w:rPr>
        <w:t>Four valuation attempts were made for HTZ. Two — the DCF and an independent cross-check using management's own guidance — were built without relying on this model's flawed EBITDA figure and converge within 5% of each other. Two others — the peer-multiple Comps triangulation and the Precedent Transaction figure — were built on that flawed figure and are no longer trusted at face value, even though the multiples themselves (7.93x peer median, 9.7x Europcar precedent) remain legitimate reference points once ap</w:t>
      </w:r>
      <w:r>
        <w:rPr>
          <w:color w:val="1C1B1A"/>
        </w:rPr>
        <w:t>plied to the right EBITDA base.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80"/>
        <w:gridCol w:w="2046"/>
        <w:gridCol w:w="4604"/>
      </w:tblGrid>
      <w:tr w:rsidR="00D44DED" w14:paraId="30DB014B" w14:textId="77777777">
        <w:tblPrEx>
          <w:tblCellMar>
            <w:top w:w="0" w:type="dxa"/>
            <w:bottom w:w="0" w:type="dxa"/>
          </w:tblCellMar>
        </w:tblPrEx>
        <w:tc>
          <w:tcPr>
            <w:tcW w:w="1750" w:type="pct"/>
            <w:shd w:val="clear" w:color="auto" w:fill="1C1B1A"/>
            <w:tcMar>
              <w:top w:w="80" w:type="dxa"/>
              <w:left w:w="100" w:type="dxa"/>
              <w:bottom w:w="80" w:type="dxa"/>
              <w:right w:w="100" w:type="dxa"/>
            </w:tcMar>
            <w:vAlign w:val="center"/>
          </w:tcPr>
          <w:p w14:paraId="7BA95092" w14:textId="77777777" w:rsidR="00D44DED" w:rsidRDefault="00CF40B1">
            <w:r>
              <w:rPr>
                <w:b/>
                <w:bCs/>
                <w:color w:val="FFFFFF"/>
                <w:sz w:val="18"/>
                <w:szCs w:val="18"/>
              </w:rPr>
              <w:t>Method</w:t>
            </w:r>
          </w:p>
        </w:tc>
        <w:tc>
          <w:tcPr>
            <w:tcW w:w="1000" w:type="pct"/>
            <w:shd w:val="clear" w:color="auto" w:fill="1C1B1A"/>
            <w:tcMar>
              <w:top w:w="80" w:type="dxa"/>
              <w:left w:w="100" w:type="dxa"/>
              <w:bottom w:w="80" w:type="dxa"/>
              <w:right w:w="100" w:type="dxa"/>
            </w:tcMar>
            <w:vAlign w:val="center"/>
          </w:tcPr>
          <w:p w14:paraId="2984F567" w14:textId="77777777" w:rsidR="00D44DED" w:rsidRDefault="00CF40B1">
            <w:pPr>
              <w:jc w:val="center"/>
            </w:pPr>
            <w:r>
              <w:rPr>
                <w:b/>
                <w:bCs/>
                <w:color w:val="FFFFFF"/>
                <w:sz w:val="18"/>
                <w:szCs w:val="18"/>
              </w:rPr>
              <w:t>Implied Price</w:t>
            </w:r>
          </w:p>
        </w:tc>
        <w:tc>
          <w:tcPr>
            <w:tcW w:w="2250" w:type="pct"/>
            <w:shd w:val="clear" w:color="auto" w:fill="1C1B1A"/>
            <w:tcMar>
              <w:top w:w="80" w:type="dxa"/>
              <w:left w:w="100" w:type="dxa"/>
              <w:bottom w:w="80" w:type="dxa"/>
              <w:right w:w="100" w:type="dxa"/>
            </w:tcMar>
            <w:vAlign w:val="center"/>
          </w:tcPr>
          <w:p w14:paraId="6CC73221" w14:textId="77777777" w:rsidR="00D44DED" w:rsidRDefault="00CF40B1">
            <w:r>
              <w:rPr>
                <w:b/>
                <w:bCs/>
                <w:color w:val="FFFFFF"/>
                <w:sz w:val="18"/>
                <w:szCs w:val="18"/>
              </w:rPr>
              <w:t>Status</w:t>
            </w:r>
          </w:p>
        </w:tc>
      </w:tr>
      <w:tr w:rsidR="00D44DED" w14:paraId="16A0043C" w14:textId="77777777">
        <w:tblPrEx>
          <w:tblCellMar>
            <w:top w:w="0" w:type="dxa"/>
            <w:bottom w:w="0" w:type="dxa"/>
          </w:tblCellMar>
        </w:tblPrEx>
        <w:tc>
          <w:tcPr>
            <w:tcW w:w="1000" w:type="pct"/>
            <w:tcMar>
              <w:top w:w="80" w:type="dxa"/>
              <w:left w:w="100" w:type="dxa"/>
              <w:bottom w:w="80" w:type="dxa"/>
              <w:right w:w="100" w:type="dxa"/>
            </w:tcMar>
            <w:vAlign w:val="center"/>
          </w:tcPr>
          <w:p w14:paraId="5CCD63E6" w14:textId="77777777" w:rsidR="00D44DED" w:rsidRDefault="00CF40B1">
            <w:r>
              <w:rPr>
                <w:color w:val="1C1B1A"/>
                <w:sz w:val="18"/>
                <w:szCs w:val="18"/>
              </w:rPr>
              <w:t>DCF (driver-based cash flows)</w:t>
            </w:r>
          </w:p>
        </w:tc>
        <w:tc>
          <w:tcPr>
            <w:tcW w:w="1000" w:type="pct"/>
            <w:tcMar>
              <w:top w:w="80" w:type="dxa"/>
              <w:left w:w="100" w:type="dxa"/>
              <w:bottom w:w="80" w:type="dxa"/>
              <w:right w:w="100" w:type="dxa"/>
            </w:tcMar>
            <w:vAlign w:val="center"/>
          </w:tcPr>
          <w:p w14:paraId="4E7E5D99" w14:textId="77777777" w:rsidR="00D44DED" w:rsidRDefault="00CF40B1">
            <w:pPr>
              <w:jc w:val="center"/>
            </w:pPr>
            <w:r>
              <w:rPr>
                <w:b/>
                <w:bCs/>
                <w:color w:val="B23B3B"/>
                <w:sz w:val="18"/>
                <w:szCs w:val="18"/>
              </w:rPr>
              <w:t>−$24.13</w:t>
            </w:r>
          </w:p>
        </w:tc>
        <w:tc>
          <w:tcPr>
            <w:tcW w:w="1000" w:type="pct"/>
            <w:tcMar>
              <w:top w:w="80" w:type="dxa"/>
              <w:left w:w="100" w:type="dxa"/>
              <w:bottom w:w="80" w:type="dxa"/>
              <w:right w:w="100" w:type="dxa"/>
            </w:tcMar>
            <w:vAlign w:val="center"/>
          </w:tcPr>
          <w:p w14:paraId="60D997C3" w14:textId="77777777" w:rsidR="00D44DED" w:rsidRDefault="00CF40B1">
            <w:r>
              <w:rPr>
                <w:color w:val="1C1B1A"/>
                <w:sz w:val="15"/>
                <w:szCs w:val="15"/>
              </w:rPr>
              <w:t>Trusted — built independently of the flawed EBITDA line</w:t>
            </w:r>
          </w:p>
        </w:tc>
      </w:tr>
      <w:tr w:rsidR="00D44DED" w14:paraId="196395D3" w14:textId="77777777">
        <w:tblPrEx>
          <w:tblCellMar>
            <w:top w:w="0" w:type="dxa"/>
            <w:bottom w:w="0" w:type="dxa"/>
          </w:tblCellMar>
        </w:tblPrEx>
        <w:tc>
          <w:tcPr>
            <w:tcW w:w="1000" w:type="pct"/>
            <w:tcMar>
              <w:top w:w="80" w:type="dxa"/>
              <w:left w:w="100" w:type="dxa"/>
              <w:bottom w:w="80" w:type="dxa"/>
              <w:right w:w="100" w:type="dxa"/>
            </w:tcMar>
            <w:vAlign w:val="center"/>
          </w:tcPr>
          <w:p w14:paraId="13CF36F5" w14:textId="77777777" w:rsidR="00D44DED" w:rsidRDefault="00CF40B1">
            <w:r>
              <w:rPr>
                <w:color w:val="1C1B1A"/>
                <w:sz w:val="18"/>
                <w:szCs w:val="18"/>
              </w:rPr>
              <w:t>Cross-check: mgmt's own 2027 EBITDA target × peer multiple</w:t>
            </w:r>
          </w:p>
        </w:tc>
        <w:tc>
          <w:tcPr>
            <w:tcW w:w="1000" w:type="pct"/>
            <w:tcMar>
              <w:top w:w="80" w:type="dxa"/>
              <w:left w:w="100" w:type="dxa"/>
              <w:bottom w:w="80" w:type="dxa"/>
              <w:right w:w="100" w:type="dxa"/>
            </w:tcMar>
            <w:vAlign w:val="center"/>
          </w:tcPr>
          <w:p w14:paraId="0F7C2195" w14:textId="77777777" w:rsidR="00D44DED" w:rsidRDefault="00CF40B1">
            <w:pPr>
              <w:jc w:val="center"/>
            </w:pPr>
            <w:r>
              <w:rPr>
                <w:b/>
                <w:bCs/>
                <w:color w:val="B23B3B"/>
                <w:sz w:val="18"/>
                <w:szCs w:val="18"/>
              </w:rPr>
              <w:t>−$23.10</w:t>
            </w:r>
          </w:p>
        </w:tc>
        <w:tc>
          <w:tcPr>
            <w:tcW w:w="1000" w:type="pct"/>
            <w:tcMar>
              <w:top w:w="80" w:type="dxa"/>
              <w:left w:w="100" w:type="dxa"/>
              <w:bottom w:w="80" w:type="dxa"/>
              <w:right w:w="100" w:type="dxa"/>
            </w:tcMar>
            <w:vAlign w:val="center"/>
          </w:tcPr>
          <w:p w14:paraId="28211D08" w14:textId="77777777" w:rsidR="00D44DED" w:rsidRDefault="00CF40B1">
            <w:r>
              <w:rPr>
                <w:color w:val="1C1B1A"/>
                <w:sz w:val="15"/>
                <w:szCs w:val="15"/>
              </w:rPr>
              <w:t>Trusted — independently built, converges with the DCF within 5%</w:t>
            </w:r>
          </w:p>
        </w:tc>
      </w:tr>
      <w:tr w:rsidR="00D44DED" w14:paraId="71E23FFF" w14:textId="77777777">
        <w:tblPrEx>
          <w:tblCellMar>
            <w:top w:w="0" w:type="dxa"/>
            <w:bottom w:w="0" w:type="dxa"/>
          </w:tblCellMar>
        </w:tblPrEx>
        <w:tc>
          <w:tcPr>
            <w:tcW w:w="1000" w:type="pct"/>
            <w:shd w:val="clear" w:color="auto" w:fill="FBE7E7"/>
            <w:tcMar>
              <w:top w:w="80" w:type="dxa"/>
              <w:left w:w="100" w:type="dxa"/>
              <w:bottom w:w="80" w:type="dxa"/>
              <w:right w:w="100" w:type="dxa"/>
            </w:tcMar>
            <w:vAlign w:val="center"/>
          </w:tcPr>
          <w:p w14:paraId="1C7771EF" w14:textId="77777777" w:rsidR="00D44DED" w:rsidRDefault="00CF40B1">
            <w:r>
              <w:rPr>
                <w:color w:val="1C1B1A"/>
                <w:sz w:val="18"/>
                <w:szCs w:val="18"/>
              </w:rPr>
              <w:t>Comps (peer median × model EBITDA)</w:t>
            </w:r>
          </w:p>
        </w:tc>
        <w:tc>
          <w:tcPr>
            <w:tcW w:w="1000" w:type="pct"/>
            <w:shd w:val="clear" w:color="auto" w:fill="FBE7E7"/>
            <w:tcMar>
              <w:top w:w="80" w:type="dxa"/>
              <w:left w:w="100" w:type="dxa"/>
              <w:bottom w:w="80" w:type="dxa"/>
              <w:right w:w="100" w:type="dxa"/>
            </w:tcMar>
            <w:vAlign w:val="center"/>
          </w:tcPr>
          <w:p w14:paraId="2D5A8CBB" w14:textId="77777777" w:rsidR="00D44DED" w:rsidRDefault="00CF40B1">
            <w:pPr>
              <w:jc w:val="center"/>
            </w:pPr>
            <w:r>
              <w:rPr>
                <w:b/>
                <w:bCs/>
                <w:color w:val="1C1B1A"/>
                <w:sz w:val="18"/>
                <w:szCs w:val="18"/>
              </w:rPr>
              <w:t>+$8.29</w:t>
            </w:r>
          </w:p>
        </w:tc>
        <w:tc>
          <w:tcPr>
            <w:tcW w:w="1000" w:type="pct"/>
            <w:shd w:val="clear" w:color="auto" w:fill="FBE7E7"/>
            <w:tcMar>
              <w:top w:w="80" w:type="dxa"/>
              <w:left w:w="100" w:type="dxa"/>
              <w:bottom w:w="80" w:type="dxa"/>
              <w:right w:w="100" w:type="dxa"/>
            </w:tcMar>
            <w:vAlign w:val="center"/>
          </w:tcPr>
          <w:p w14:paraId="05D5B08A" w14:textId="77777777" w:rsidR="00D44DED" w:rsidRDefault="00CF40B1">
            <w:r>
              <w:rPr>
                <w:color w:val="1C1B1A"/>
                <w:sz w:val="15"/>
                <w:szCs w:val="15"/>
              </w:rPr>
              <w:t>NOT trusted — built on an EBITDA figure ~10x too large</w:t>
            </w:r>
          </w:p>
        </w:tc>
      </w:tr>
      <w:tr w:rsidR="00D44DED" w14:paraId="230F693C" w14:textId="77777777">
        <w:tblPrEx>
          <w:tblCellMar>
            <w:top w:w="0" w:type="dxa"/>
            <w:bottom w:w="0" w:type="dxa"/>
          </w:tblCellMar>
        </w:tblPrEx>
        <w:tc>
          <w:tcPr>
            <w:tcW w:w="1000" w:type="pct"/>
            <w:shd w:val="clear" w:color="auto" w:fill="FBE7E7"/>
            <w:tcMar>
              <w:top w:w="80" w:type="dxa"/>
              <w:left w:w="100" w:type="dxa"/>
              <w:bottom w:w="80" w:type="dxa"/>
              <w:right w:w="100" w:type="dxa"/>
            </w:tcMar>
            <w:vAlign w:val="center"/>
          </w:tcPr>
          <w:p w14:paraId="0FBE1DBD" w14:textId="77777777" w:rsidR="00D44DED" w:rsidRDefault="00CF40B1">
            <w:r>
              <w:rPr>
                <w:color w:val="1C1B1A"/>
                <w:sz w:val="18"/>
                <w:szCs w:val="18"/>
              </w:rPr>
              <w:t>Precedent Transaction (Europcar multiple)</w:t>
            </w:r>
          </w:p>
        </w:tc>
        <w:tc>
          <w:tcPr>
            <w:tcW w:w="1000" w:type="pct"/>
            <w:shd w:val="clear" w:color="auto" w:fill="FBE7E7"/>
            <w:tcMar>
              <w:top w:w="80" w:type="dxa"/>
              <w:left w:w="100" w:type="dxa"/>
              <w:bottom w:w="80" w:type="dxa"/>
              <w:right w:w="100" w:type="dxa"/>
            </w:tcMar>
            <w:vAlign w:val="center"/>
          </w:tcPr>
          <w:p w14:paraId="0B879821" w14:textId="77777777" w:rsidR="00D44DED" w:rsidRDefault="00CF40B1">
            <w:pPr>
              <w:jc w:val="center"/>
            </w:pPr>
            <w:r>
              <w:rPr>
                <w:b/>
                <w:bCs/>
                <w:color w:val="1C1B1A"/>
                <w:sz w:val="18"/>
                <w:szCs w:val="18"/>
              </w:rPr>
              <w:t>+$20.26</w:t>
            </w:r>
          </w:p>
        </w:tc>
        <w:tc>
          <w:tcPr>
            <w:tcW w:w="1000" w:type="pct"/>
            <w:shd w:val="clear" w:color="auto" w:fill="FBE7E7"/>
            <w:tcMar>
              <w:top w:w="80" w:type="dxa"/>
              <w:left w:w="100" w:type="dxa"/>
              <w:bottom w:w="80" w:type="dxa"/>
              <w:right w:w="100" w:type="dxa"/>
            </w:tcMar>
            <w:vAlign w:val="center"/>
          </w:tcPr>
          <w:p w14:paraId="6BE3F3DD" w14:textId="77777777" w:rsidR="00D44DED" w:rsidRDefault="00CF40B1">
            <w:r>
              <w:rPr>
                <w:color w:val="1C1B1A"/>
                <w:sz w:val="15"/>
                <w:szCs w:val="15"/>
              </w:rPr>
              <w:t>NOT trusted — same flawed EBITDA base</w:t>
            </w:r>
          </w:p>
        </w:tc>
      </w:tr>
    </w:tbl>
    <w:p w14:paraId="2144F7B1" w14:textId="77777777" w:rsidR="00D44DED" w:rsidRDefault="00CF40B1">
      <w:pPr>
        <w:spacing w:after="160"/>
      </w:pPr>
      <w:r>
        <w:rPr>
          <w:i/>
          <w:iCs/>
          <w:color w:val="6F6C67"/>
          <w:sz w:val="16"/>
          <w:szCs w:val="16"/>
        </w:rPr>
        <w:t>Full trace of the EBITDA reconciliation is documented on the DCF tab of the accompanying workbook.</w:t>
      </w:r>
    </w:p>
    <w:p w14:paraId="6DDF136B" w14:textId="77777777" w:rsidR="00D44DED" w:rsidRDefault="00CF40B1">
      <w:pPr>
        <w:pStyle w:val="Heading2"/>
        <w:spacing w:before="200" w:after="100"/>
      </w:pPr>
      <w:r>
        <w:rPr>
          <w:b/>
          <w:bCs/>
          <w:color w:val="2F5DE3"/>
          <w:sz w:val="20"/>
          <w:szCs w:val="20"/>
        </w:rPr>
        <w:t>Relative Valuation — Peer Comparison (multiples still valid; HTZ's own EBITDA base is not)</w:t>
      </w:r>
    </w:p>
    <w:p w14:paraId="21F8F313" w14:textId="77777777" w:rsidR="00D44DED" w:rsidRDefault="00CF40B1">
      <w:pPr>
        <w:spacing w:after="140" w:line="268" w:lineRule="auto"/>
      </w:pPr>
      <w:r>
        <w:rPr>
          <w:color w:val="1C1B1A"/>
        </w:rPr>
        <w:t>Peer set: Avis Budget Group and Sixt SE (both named directly in Hertz's own 10-K); Ryder System substitutes for the third named competitor, Enterprise Holdings, which is privately held with no public market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1"/>
        <w:gridCol w:w="2046"/>
        <w:gridCol w:w="2046"/>
        <w:gridCol w:w="2046"/>
        <w:gridCol w:w="1841"/>
      </w:tblGrid>
      <w:tr w:rsidR="00D44DED" w14:paraId="21B53330" w14:textId="77777777">
        <w:tblPrEx>
          <w:tblCellMar>
            <w:top w:w="0" w:type="dxa"/>
            <w:bottom w:w="0" w:type="dxa"/>
          </w:tblCellMar>
        </w:tblPrEx>
        <w:tc>
          <w:tcPr>
            <w:tcW w:w="1100" w:type="pct"/>
            <w:shd w:val="clear" w:color="auto" w:fill="1C1B1A"/>
            <w:tcMar>
              <w:top w:w="80" w:type="dxa"/>
              <w:left w:w="100" w:type="dxa"/>
              <w:bottom w:w="80" w:type="dxa"/>
              <w:right w:w="100" w:type="dxa"/>
            </w:tcMar>
            <w:vAlign w:val="center"/>
          </w:tcPr>
          <w:p w14:paraId="6691D579" w14:textId="77777777" w:rsidR="00D44DED" w:rsidRDefault="00CF40B1">
            <w:r>
              <w:rPr>
                <w:b/>
                <w:bCs/>
                <w:color w:val="FFFFFF"/>
                <w:sz w:val="18"/>
                <w:szCs w:val="18"/>
              </w:rPr>
              <w:t>Ticker</w:t>
            </w:r>
          </w:p>
        </w:tc>
        <w:tc>
          <w:tcPr>
            <w:tcW w:w="1000" w:type="pct"/>
            <w:shd w:val="clear" w:color="auto" w:fill="1C1B1A"/>
            <w:tcMar>
              <w:top w:w="80" w:type="dxa"/>
              <w:left w:w="100" w:type="dxa"/>
              <w:bottom w:w="80" w:type="dxa"/>
              <w:right w:w="100" w:type="dxa"/>
            </w:tcMar>
            <w:vAlign w:val="center"/>
          </w:tcPr>
          <w:p w14:paraId="03B77E4B" w14:textId="77777777" w:rsidR="00D44DED" w:rsidRDefault="00CF40B1">
            <w:r>
              <w:rPr>
                <w:b/>
                <w:bCs/>
                <w:color w:val="FFFFFF"/>
                <w:sz w:val="18"/>
                <w:szCs w:val="18"/>
              </w:rPr>
              <w:t>Name</w:t>
            </w:r>
          </w:p>
        </w:tc>
        <w:tc>
          <w:tcPr>
            <w:tcW w:w="1000" w:type="pct"/>
            <w:shd w:val="clear" w:color="auto" w:fill="1C1B1A"/>
            <w:tcMar>
              <w:top w:w="80" w:type="dxa"/>
              <w:left w:w="100" w:type="dxa"/>
              <w:bottom w:w="80" w:type="dxa"/>
              <w:right w:w="100" w:type="dxa"/>
            </w:tcMar>
            <w:vAlign w:val="center"/>
          </w:tcPr>
          <w:p w14:paraId="3174B5F9" w14:textId="77777777" w:rsidR="00D44DED" w:rsidRDefault="00CF40B1">
            <w:pPr>
              <w:jc w:val="center"/>
            </w:pPr>
            <w:r>
              <w:rPr>
                <w:b/>
                <w:bCs/>
                <w:color w:val="FFFFFF"/>
                <w:sz w:val="18"/>
                <w:szCs w:val="18"/>
              </w:rPr>
              <w:t>EV/EBITDA</w:t>
            </w:r>
          </w:p>
        </w:tc>
        <w:tc>
          <w:tcPr>
            <w:tcW w:w="1000" w:type="pct"/>
            <w:shd w:val="clear" w:color="auto" w:fill="1C1B1A"/>
            <w:tcMar>
              <w:top w:w="80" w:type="dxa"/>
              <w:left w:w="100" w:type="dxa"/>
              <w:bottom w:w="80" w:type="dxa"/>
              <w:right w:w="100" w:type="dxa"/>
            </w:tcMar>
            <w:vAlign w:val="center"/>
          </w:tcPr>
          <w:p w14:paraId="6575EA2C" w14:textId="77777777" w:rsidR="00D44DED" w:rsidRDefault="00CF40B1">
            <w:pPr>
              <w:jc w:val="center"/>
            </w:pPr>
            <w:r>
              <w:rPr>
                <w:b/>
                <w:bCs/>
                <w:color w:val="FFFFFF"/>
                <w:sz w:val="18"/>
                <w:szCs w:val="18"/>
              </w:rPr>
              <w:t>P/E</w:t>
            </w:r>
          </w:p>
        </w:tc>
        <w:tc>
          <w:tcPr>
            <w:tcW w:w="1000" w:type="pct"/>
            <w:shd w:val="clear" w:color="auto" w:fill="1C1B1A"/>
            <w:tcMar>
              <w:top w:w="80" w:type="dxa"/>
              <w:left w:w="100" w:type="dxa"/>
              <w:bottom w:w="80" w:type="dxa"/>
              <w:right w:w="100" w:type="dxa"/>
            </w:tcMar>
            <w:vAlign w:val="center"/>
          </w:tcPr>
          <w:p w14:paraId="77A57638" w14:textId="77777777" w:rsidR="00D44DED" w:rsidRDefault="00CF40B1">
            <w:pPr>
              <w:jc w:val="center"/>
            </w:pPr>
            <w:r>
              <w:rPr>
                <w:b/>
                <w:bCs/>
                <w:color w:val="FFFFFF"/>
                <w:sz w:val="18"/>
                <w:szCs w:val="18"/>
              </w:rPr>
              <w:t>Div. Yield</w:t>
            </w:r>
          </w:p>
        </w:tc>
      </w:tr>
      <w:tr w:rsidR="00D44DED" w14:paraId="6082EE11" w14:textId="77777777">
        <w:tblPrEx>
          <w:tblCellMar>
            <w:top w:w="0" w:type="dxa"/>
            <w:bottom w:w="0" w:type="dxa"/>
          </w:tblCellMar>
        </w:tblPrEx>
        <w:tc>
          <w:tcPr>
            <w:tcW w:w="1000" w:type="pct"/>
            <w:tcMar>
              <w:top w:w="80" w:type="dxa"/>
              <w:left w:w="100" w:type="dxa"/>
              <w:bottom w:w="80" w:type="dxa"/>
              <w:right w:w="100" w:type="dxa"/>
            </w:tcMar>
            <w:vAlign w:val="center"/>
          </w:tcPr>
          <w:p w14:paraId="3F798131" w14:textId="77777777" w:rsidR="00D44DED" w:rsidRDefault="00CF40B1">
            <w:r>
              <w:rPr>
                <w:color w:val="1C1B1A"/>
                <w:sz w:val="18"/>
                <w:szCs w:val="18"/>
              </w:rPr>
              <w:t>CAR</w:t>
            </w:r>
          </w:p>
        </w:tc>
        <w:tc>
          <w:tcPr>
            <w:tcW w:w="1000" w:type="pct"/>
            <w:tcMar>
              <w:top w:w="80" w:type="dxa"/>
              <w:left w:w="100" w:type="dxa"/>
              <w:bottom w:w="80" w:type="dxa"/>
              <w:right w:w="100" w:type="dxa"/>
            </w:tcMar>
            <w:vAlign w:val="center"/>
          </w:tcPr>
          <w:p w14:paraId="335E1CF4" w14:textId="77777777" w:rsidR="00D44DED" w:rsidRDefault="00CF40B1">
            <w:r>
              <w:rPr>
                <w:color w:val="1C1B1A"/>
                <w:sz w:val="18"/>
                <w:szCs w:val="18"/>
              </w:rPr>
              <w:t>Avis Budget Group</w:t>
            </w:r>
          </w:p>
        </w:tc>
        <w:tc>
          <w:tcPr>
            <w:tcW w:w="1000" w:type="pct"/>
            <w:tcMar>
              <w:top w:w="80" w:type="dxa"/>
              <w:left w:w="100" w:type="dxa"/>
              <w:bottom w:w="80" w:type="dxa"/>
              <w:right w:w="100" w:type="dxa"/>
            </w:tcMar>
            <w:vAlign w:val="center"/>
          </w:tcPr>
          <w:p w14:paraId="3C89828D" w14:textId="77777777" w:rsidR="00D44DED" w:rsidRDefault="00CF40B1">
            <w:pPr>
              <w:jc w:val="center"/>
            </w:pPr>
            <w:r>
              <w:rPr>
                <w:color w:val="1C1B1A"/>
                <w:sz w:val="18"/>
                <w:szCs w:val="18"/>
              </w:rPr>
              <w:t>8.58x</w:t>
            </w:r>
          </w:p>
        </w:tc>
        <w:tc>
          <w:tcPr>
            <w:tcW w:w="1000" w:type="pct"/>
            <w:tcMar>
              <w:top w:w="80" w:type="dxa"/>
              <w:left w:w="100" w:type="dxa"/>
              <w:bottom w:w="80" w:type="dxa"/>
              <w:right w:w="100" w:type="dxa"/>
            </w:tcMar>
            <w:vAlign w:val="center"/>
          </w:tcPr>
          <w:p w14:paraId="026220C3" w14:textId="77777777" w:rsidR="00D44DED" w:rsidRDefault="00CF40B1">
            <w:pPr>
              <w:jc w:val="center"/>
            </w:pPr>
            <w:r>
              <w:rPr>
                <w:color w:val="1C1B1A"/>
                <w:sz w:val="18"/>
                <w:szCs w:val="18"/>
              </w:rPr>
              <w:t>NM</w:t>
            </w:r>
          </w:p>
        </w:tc>
        <w:tc>
          <w:tcPr>
            <w:tcW w:w="1000" w:type="pct"/>
            <w:tcMar>
              <w:top w:w="80" w:type="dxa"/>
              <w:left w:w="100" w:type="dxa"/>
              <w:bottom w:w="80" w:type="dxa"/>
              <w:right w:w="100" w:type="dxa"/>
            </w:tcMar>
            <w:vAlign w:val="center"/>
          </w:tcPr>
          <w:p w14:paraId="098F7B89" w14:textId="77777777" w:rsidR="00D44DED" w:rsidRDefault="00CF40B1">
            <w:pPr>
              <w:jc w:val="center"/>
            </w:pPr>
            <w:r>
              <w:rPr>
                <w:color w:val="1C1B1A"/>
                <w:sz w:val="18"/>
                <w:szCs w:val="18"/>
              </w:rPr>
              <w:t>0.0%</w:t>
            </w:r>
          </w:p>
        </w:tc>
      </w:tr>
      <w:tr w:rsidR="00D44DED" w14:paraId="69E5836C" w14:textId="77777777">
        <w:tblPrEx>
          <w:tblCellMar>
            <w:top w:w="0" w:type="dxa"/>
            <w:bottom w:w="0" w:type="dxa"/>
          </w:tblCellMar>
        </w:tblPrEx>
        <w:tc>
          <w:tcPr>
            <w:tcW w:w="1000" w:type="pct"/>
            <w:tcMar>
              <w:top w:w="80" w:type="dxa"/>
              <w:left w:w="100" w:type="dxa"/>
              <w:bottom w:w="80" w:type="dxa"/>
              <w:right w:w="100" w:type="dxa"/>
            </w:tcMar>
            <w:vAlign w:val="center"/>
          </w:tcPr>
          <w:p w14:paraId="19F3F4F6" w14:textId="77777777" w:rsidR="00D44DED" w:rsidRDefault="00CF40B1">
            <w:r>
              <w:rPr>
                <w:color w:val="1C1B1A"/>
                <w:sz w:val="18"/>
                <w:szCs w:val="18"/>
              </w:rPr>
              <w:t>R</w:t>
            </w:r>
          </w:p>
        </w:tc>
        <w:tc>
          <w:tcPr>
            <w:tcW w:w="1000" w:type="pct"/>
            <w:tcMar>
              <w:top w:w="80" w:type="dxa"/>
              <w:left w:w="100" w:type="dxa"/>
              <w:bottom w:w="80" w:type="dxa"/>
              <w:right w:w="100" w:type="dxa"/>
            </w:tcMar>
            <w:vAlign w:val="center"/>
          </w:tcPr>
          <w:p w14:paraId="3F09300C" w14:textId="77777777" w:rsidR="00D44DED" w:rsidRDefault="00CF40B1">
            <w:r>
              <w:rPr>
                <w:color w:val="1C1B1A"/>
                <w:sz w:val="18"/>
                <w:szCs w:val="18"/>
              </w:rPr>
              <w:t>Ryder System</w:t>
            </w:r>
          </w:p>
        </w:tc>
        <w:tc>
          <w:tcPr>
            <w:tcW w:w="1000" w:type="pct"/>
            <w:tcMar>
              <w:top w:w="80" w:type="dxa"/>
              <w:left w:w="100" w:type="dxa"/>
              <w:bottom w:w="80" w:type="dxa"/>
              <w:right w:w="100" w:type="dxa"/>
            </w:tcMar>
            <w:vAlign w:val="center"/>
          </w:tcPr>
          <w:p w14:paraId="5E851C6A" w14:textId="77777777" w:rsidR="00D44DED" w:rsidRDefault="00CF40B1">
            <w:pPr>
              <w:jc w:val="center"/>
            </w:pPr>
            <w:r>
              <w:rPr>
                <w:color w:val="1C1B1A"/>
                <w:sz w:val="18"/>
                <w:szCs w:val="18"/>
              </w:rPr>
              <w:t>6.75x</w:t>
            </w:r>
          </w:p>
        </w:tc>
        <w:tc>
          <w:tcPr>
            <w:tcW w:w="1000" w:type="pct"/>
            <w:tcMar>
              <w:top w:w="80" w:type="dxa"/>
              <w:left w:w="100" w:type="dxa"/>
              <w:bottom w:w="80" w:type="dxa"/>
              <w:right w:w="100" w:type="dxa"/>
            </w:tcMar>
            <w:vAlign w:val="center"/>
          </w:tcPr>
          <w:p w14:paraId="33A00977" w14:textId="77777777" w:rsidR="00D44DED" w:rsidRDefault="00CF40B1">
            <w:pPr>
              <w:jc w:val="center"/>
            </w:pPr>
            <w:r>
              <w:rPr>
                <w:color w:val="1C1B1A"/>
                <w:sz w:val="18"/>
                <w:szCs w:val="18"/>
              </w:rPr>
              <w:t>21.5x</w:t>
            </w:r>
          </w:p>
        </w:tc>
        <w:tc>
          <w:tcPr>
            <w:tcW w:w="1000" w:type="pct"/>
            <w:tcMar>
              <w:top w:w="80" w:type="dxa"/>
              <w:left w:w="100" w:type="dxa"/>
              <w:bottom w:w="80" w:type="dxa"/>
              <w:right w:w="100" w:type="dxa"/>
            </w:tcMar>
            <w:vAlign w:val="center"/>
          </w:tcPr>
          <w:p w14:paraId="1D97F6D8" w14:textId="77777777" w:rsidR="00D44DED" w:rsidRDefault="00CF40B1">
            <w:pPr>
              <w:jc w:val="center"/>
            </w:pPr>
            <w:r>
              <w:rPr>
                <w:color w:val="1C1B1A"/>
                <w:sz w:val="18"/>
                <w:szCs w:val="18"/>
              </w:rPr>
              <w:t>1.5%</w:t>
            </w:r>
          </w:p>
        </w:tc>
      </w:tr>
      <w:tr w:rsidR="00D44DED" w14:paraId="6FFCBF09" w14:textId="77777777">
        <w:tblPrEx>
          <w:tblCellMar>
            <w:top w:w="0" w:type="dxa"/>
            <w:bottom w:w="0" w:type="dxa"/>
          </w:tblCellMar>
        </w:tblPrEx>
        <w:tc>
          <w:tcPr>
            <w:tcW w:w="1000" w:type="pct"/>
            <w:tcMar>
              <w:top w:w="80" w:type="dxa"/>
              <w:left w:w="100" w:type="dxa"/>
              <w:bottom w:w="80" w:type="dxa"/>
              <w:right w:w="100" w:type="dxa"/>
            </w:tcMar>
            <w:vAlign w:val="center"/>
          </w:tcPr>
          <w:p w14:paraId="24EFC6F7" w14:textId="77777777" w:rsidR="00D44DED" w:rsidRDefault="00CF40B1">
            <w:r>
              <w:rPr>
                <w:color w:val="1C1B1A"/>
                <w:sz w:val="18"/>
                <w:szCs w:val="18"/>
              </w:rPr>
              <w:t>SIX2</w:t>
            </w:r>
          </w:p>
        </w:tc>
        <w:tc>
          <w:tcPr>
            <w:tcW w:w="1000" w:type="pct"/>
            <w:tcMar>
              <w:top w:w="80" w:type="dxa"/>
              <w:left w:w="100" w:type="dxa"/>
              <w:bottom w:w="80" w:type="dxa"/>
              <w:right w:w="100" w:type="dxa"/>
            </w:tcMar>
            <w:vAlign w:val="center"/>
          </w:tcPr>
          <w:p w14:paraId="1DB0A775" w14:textId="77777777" w:rsidR="00D44DED" w:rsidRDefault="00CF40B1">
            <w:r>
              <w:rPr>
                <w:color w:val="1C1B1A"/>
                <w:sz w:val="18"/>
                <w:szCs w:val="18"/>
              </w:rPr>
              <w:t>Sixt SE</w:t>
            </w:r>
          </w:p>
        </w:tc>
        <w:tc>
          <w:tcPr>
            <w:tcW w:w="1000" w:type="pct"/>
            <w:tcMar>
              <w:top w:w="80" w:type="dxa"/>
              <w:left w:w="100" w:type="dxa"/>
              <w:bottom w:w="80" w:type="dxa"/>
              <w:right w:w="100" w:type="dxa"/>
            </w:tcMar>
            <w:vAlign w:val="center"/>
          </w:tcPr>
          <w:p w14:paraId="1D14F00C" w14:textId="77777777" w:rsidR="00D44DED" w:rsidRDefault="00CF40B1">
            <w:pPr>
              <w:jc w:val="center"/>
            </w:pPr>
            <w:r>
              <w:rPr>
                <w:color w:val="1C1B1A"/>
                <w:sz w:val="18"/>
                <w:szCs w:val="18"/>
              </w:rPr>
              <w:t>7.93x</w:t>
            </w:r>
          </w:p>
        </w:tc>
        <w:tc>
          <w:tcPr>
            <w:tcW w:w="1000" w:type="pct"/>
            <w:tcMar>
              <w:top w:w="80" w:type="dxa"/>
              <w:left w:w="100" w:type="dxa"/>
              <w:bottom w:w="80" w:type="dxa"/>
              <w:right w:w="100" w:type="dxa"/>
            </w:tcMar>
            <w:vAlign w:val="center"/>
          </w:tcPr>
          <w:p w14:paraId="4749CD35" w14:textId="77777777" w:rsidR="00D44DED" w:rsidRDefault="00CF40B1">
            <w:pPr>
              <w:jc w:val="center"/>
            </w:pPr>
            <w:r>
              <w:rPr>
                <w:color w:val="1C1B1A"/>
                <w:sz w:val="18"/>
                <w:szCs w:val="18"/>
              </w:rPr>
              <w:t>11.2x</w:t>
            </w:r>
          </w:p>
        </w:tc>
        <w:tc>
          <w:tcPr>
            <w:tcW w:w="1000" w:type="pct"/>
            <w:tcMar>
              <w:top w:w="80" w:type="dxa"/>
              <w:left w:w="100" w:type="dxa"/>
              <w:bottom w:w="80" w:type="dxa"/>
              <w:right w:w="100" w:type="dxa"/>
            </w:tcMar>
            <w:vAlign w:val="center"/>
          </w:tcPr>
          <w:p w14:paraId="755243B7" w14:textId="77777777" w:rsidR="00D44DED" w:rsidRDefault="00CF40B1">
            <w:pPr>
              <w:jc w:val="center"/>
            </w:pPr>
            <w:r>
              <w:rPr>
                <w:color w:val="1C1B1A"/>
                <w:sz w:val="18"/>
                <w:szCs w:val="18"/>
              </w:rPr>
              <w:t>4.5%</w:t>
            </w:r>
          </w:p>
        </w:tc>
      </w:tr>
      <w:tr w:rsidR="00D44DED" w14:paraId="186BE50A" w14:textId="77777777">
        <w:tblPrEx>
          <w:tblCellMar>
            <w:top w:w="0" w:type="dxa"/>
            <w:bottom w:w="0" w:type="dxa"/>
          </w:tblCellMar>
        </w:tblPrEx>
        <w:tc>
          <w:tcPr>
            <w:tcW w:w="1000" w:type="pct"/>
            <w:shd w:val="clear" w:color="auto" w:fill="F5F4F2"/>
            <w:tcMar>
              <w:top w:w="80" w:type="dxa"/>
              <w:left w:w="100" w:type="dxa"/>
              <w:bottom w:w="80" w:type="dxa"/>
              <w:right w:w="100" w:type="dxa"/>
            </w:tcMar>
            <w:vAlign w:val="center"/>
          </w:tcPr>
          <w:p w14:paraId="4E39AA57" w14:textId="77777777" w:rsidR="00D44DED" w:rsidRDefault="00CF40B1">
            <w:r>
              <w:rPr>
                <w:b/>
                <w:bCs/>
                <w:color w:val="1C1B1A"/>
                <w:sz w:val="18"/>
                <w:szCs w:val="18"/>
              </w:rPr>
              <w:t>—</w:t>
            </w:r>
          </w:p>
        </w:tc>
        <w:tc>
          <w:tcPr>
            <w:tcW w:w="1000" w:type="pct"/>
            <w:shd w:val="clear" w:color="auto" w:fill="F5F4F2"/>
            <w:tcMar>
              <w:top w:w="80" w:type="dxa"/>
              <w:left w:w="100" w:type="dxa"/>
              <w:bottom w:w="80" w:type="dxa"/>
              <w:right w:w="100" w:type="dxa"/>
            </w:tcMar>
            <w:vAlign w:val="center"/>
          </w:tcPr>
          <w:p w14:paraId="15489F01" w14:textId="77777777" w:rsidR="00D44DED" w:rsidRDefault="00CF40B1">
            <w:r>
              <w:rPr>
                <w:b/>
                <w:bCs/>
                <w:color w:val="1C1B1A"/>
                <w:sz w:val="18"/>
                <w:szCs w:val="18"/>
              </w:rPr>
              <w:t>Peer Median</w:t>
            </w:r>
          </w:p>
        </w:tc>
        <w:tc>
          <w:tcPr>
            <w:tcW w:w="1000" w:type="pct"/>
            <w:shd w:val="clear" w:color="auto" w:fill="F5F4F2"/>
            <w:tcMar>
              <w:top w:w="80" w:type="dxa"/>
              <w:left w:w="100" w:type="dxa"/>
              <w:bottom w:w="80" w:type="dxa"/>
              <w:right w:w="100" w:type="dxa"/>
            </w:tcMar>
            <w:vAlign w:val="center"/>
          </w:tcPr>
          <w:p w14:paraId="1E08A336" w14:textId="77777777" w:rsidR="00D44DED" w:rsidRDefault="00CF40B1">
            <w:pPr>
              <w:jc w:val="center"/>
            </w:pPr>
            <w:r>
              <w:rPr>
                <w:b/>
                <w:bCs/>
                <w:color w:val="1C1B1A"/>
                <w:sz w:val="18"/>
                <w:szCs w:val="18"/>
              </w:rPr>
              <w:t>7.93x</w:t>
            </w:r>
          </w:p>
        </w:tc>
        <w:tc>
          <w:tcPr>
            <w:tcW w:w="1000" w:type="pct"/>
            <w:shd w:val="clear" w:color="auto" w:fill="F5F4F2"/>
            <w:tcMar>
              <w:top w:w="80" w:type="dxa"/>
              <w:left w:w="100" w:type="dxa"/>
              <w:bottom w:w="80" w:type="dxa"/>
              <w:right w:w="100" w:type="dxa"/>
            </w:tcMar>
            <w:vAlign w:val="center"/>
          </w:tcPr>
          <w:p w14:paraId="4C6A0AC9" w14:textId="77777777" w:rsidR="00D44DED" w:rsidRDefault="00CF40B1">
            <w:pPr>
              <w:jc w:val="center"/>
            </w:pPr>
            <w:r>
              <w:rPr>
                <w:b/>
                <w:bCs/>
                <w:color w:val="1C1B1A"/>
                <w:sz w:val="18"/>
                <w:szCs w:val="18"/>
              </w:rPr>
              <w:t>16.3x</w:t>
            </w:r>
          </w:p>
        </w:tc>
        <w:tc>
          <w:tcPr>
            <w:tcW w:w="1000" w:type="pct"/>
            <w:shd w:val="clear" w:color="auto" w:fill="F5F4F2"/>
            <w:tcMar>
              <w:top w:w="80" w:type="dxa"/>
              <w:left w:w="100" w:type="dxa"/>
              <w:bottom w:w="80" w:type="dxa"/>
              <w:right w:w="100" w:type="dxa"/>
            </w:tcMar>
            <w:vAlign w:val="center"/>
          </w:tcPr>
          <w:p w14:paraId="1B2C9564" w14:textId="77777777" w:rsidR="00D44DED" w:rsidRDefault="00CF40B1">
            <w:pPr>
              <w:jc w:val="center"/>
            </w:pPr>
            <w:r>
              <w:rPr>
                <w:b/>
                <w:bCs/>
                <w:color w:val="1C1B1A"/>
                <w:sz w:val="18"/>
                <w:szCs w:val="18"/>
              </w:rPr>
              <w:t>1.5%</w:t>
            </w:r>
          </w:p>
        </w:tc>
      </w:tr>
      <w:tr w:rsidR="00D44DED" w14:paraId="1E36C645" w14:textId="77777777">
        <w:tblPrEx>
          <w:tblCellMar>
            <w:top w:w="0" w:type="dxa"/>
            <w:bottom w:w="0" w:type="dxa"/>
          </w:tblCellMar>
        </w:tblPrEx>
        <w:tc>
          <w:tcPr>
            <w:tcW w:w="1000" w:type="pct"/>
            <w:shd w:val="clear" w:color="auto" w:fill="FFF6D9"/>
            <w:tcMar>
              <w:top w:w="80" w:type="dxa"/>
              <w:left w:w="100" w:type="dxa"/>
              <w:bottom w:w="80" w:type="dxa"/>
              <w:right w:w="100" w:type="dxa"/>
            </w:tcMar>
            <w:vAlign w:val="center"/>
          </w:tcPr>
          <w:p w14:paraId="7E3E5D96" w14:textId="77777777" w:rsidR="00D44DED" w:rsidRDefault="00CF40B1">
            <w:r>
              <w:rPr>
                <w:b/>
                <w:bCs/>
                <w:color w:val="1C1B1A"/>
                <w:sz w:val="18"/>
                <w:szCs w:val="18"/>
              </w:rPr>
              <w:t>HTZ</w:t>
            </w:r>
          </w:p>
        </w:tc>
        <w:tc>
          <w:tcPr>
            <w:tcW w:w="1000" w:type="pct"/>
            <w:shd w:val="clear" w:color="auto" w:fill="FFF6D9"/>
            <w:tcMar>
              <w:top w:w="80" w:type="dxa"/>
              <w:left w:w="100" w:type="dxa"/>
              <w:bottom w:w="80" w:type="dxa"/>
              <w:right w:w="100" w:type="dxa"/>
            </w:tcMar>
            <w:vAlign w:val="center"/>
          </w:tcPr>
          <w:p w14:paraId="39994319" w14:textId="77777777" w:rsidR="00D44DED" w:rsidRDefault="00CF40B1">
            <w:r>
              <w:rPr>
                <w:b/>
                <w:bCs/>
                <w:color w:val="1C1B1A"/>
                <w:sz w:val="18"/>
                <w:szCs w:val="18"/>
              </w:rPr>
              <w:t>Hertz Global Holdings</w:t>
            </w:r>
          </w:p>
        </w:tc>
        <w:tc>
          <w:tcPr>
            <w:tcW w:w="1000" w:type="pct"/>
            <w:shd w:val="clear" w:color="auto" w:fill="FFF6D9"/>
            <w:tcMar>
              <w:top w:w="80" w:type="dxa"/>
              <w:left w:w="100" w:type="dxa"/>
              <w:bottom w:w="80" w:type="dxa"/>
              <w:right w:w="100" w:type="dxa"/>
            </w:tcMar>
            <w:vAlign w:val="center"/>
          </w:tcPr>
          <w:p w14:paraId="47AFD672" w14:textId="77777777" w:rsidR="00D44DED" w:rsidRDefault="00CF40B1">
            <w:pPr>
              <w:jc w:val="center"/>
            </w:pPr>
            <w:r>
              <w:rPr>
                <w:b/>
                <w:bCs/>
                <w:color w:val="1C1B1A"/>
                <w:sz w:val="18"/>
                <w:szCs w:val="18"/>
              </w:rPr>
              <w:t>8.82x*</w:t>
            </w:r>
          </w:p>
        </w:tc>
        <w:tc>
          <w:tcPr>
            <w:tcW w:w="1000" w:type="pct"/>
            <w:shd w:val="clear" w:color="auto" w:fill="FFF6D9"/>
            <w:tcMar>
              <w:top w:w="80" w:type="dxa"/>
              <w:left w:w="100" w:type="dxa"/>
              <w:bottom w:w="80" w:type="dxa"/>
              <w:right w:w="100" w:type="dxa"/>
            </w:tcMar>
            <w:vAlign w:val="center"/>
          </w:tcPr>
          <w:p w14:paraId="3FC2AE61" w14:textId="77777777" w:rsidR="00D44DED" w:rsidRDefault="00CF40B1">
            <w:pPr>
              <w:jc w:val="center"/>
            </w:pPr>
            <w:r>
              <w:rPr>
                <w:b/>
                <w:bCs/>
                <w:color w:val="1C1B1A"/>
                <w:sz w:val="18"/>
                <w:szCs w:val="18"/>
              </w:rPr>
              <w:t>NM</w:t>
            </w:r>
          </w:p>
        </w:tc>
        <w:tc>
          <w:tcPr>
            <w:tcW w:w="1000" w:type="pct"/>
            <w:shd w:val="clear" w:color="auto" w:fill="FFF6D9"/>
            <w:tcMar>
              <w:top w:w="80" w:type="dxa"/>
              <w:left w:w="100" w:type="dxa"/>
              <w:bottom w:w="80" w:type="dxa"/>
              <w:right w:w="100" w:type="dxa"/>
            </w:tcMar>
            <w:vAlign w:val="center"/>
          </w:tcPr>
          <w:p w14:paraId="2AA88659" w14:textId="77777777" w:rsidR="00D44DED" w:rsidRDefault="00CF40B1">
            <w:pPr>
              <w:jc w:val="center"/>
            </w:pPr>
            <w:r>
              <w:rPr>
                <w:b/>
                <w:bCs/>
                <w:color w:val="1C1B1A"/>
                <w:sz w:val="18"/>
                <w:szCs w:val="18"/>
              </w:rPr>
              <w:t>0.0%</w:t>
            </w:r>
          </w:p>
        </w:tc>
      </w:tr>
    </w:tbl>
    <w:p w14:paraId="366118E9" w14:textId="77777777" w:rsidR="00D44DED" w:rsidRDefault="00CF40B1">
      <w:pPr>
        <w:spacing w:after="160"/>
      </w:pPr>
      <w:r>
        <w:rPr>
          <w:i/>
          <w:iCs/>
          <w:color w:val="6F6C67"/>
          <w:sz w:val="16"/>
          <w:szCs w:val="16"/>
        </w:rPr>
        <w:t>* HTZ's displayed 8.82x uses this workbook's inflated EBITDA figure — flagged, not corrected in place. The peer multiples themselves (CAR, R, SIX2) are unaffected, since they're built from each company's own reported figures, not HTZ's.</w:t>
      </w:r>
    </w:p>
    <w:p w14:paraId="4605864D" w14:textId="77777777" w:rsidR="00D44DED" w:rsidRDefault="00CF40B1">
      <w:pPr>
        <w:pStyle w:val="Heading2"/>
        <w:spacing w:before="200" w:after="100"/>
      </w:pPr>
      <w:r>
        <w:rPr>
          <w:b/>
          <w:bCs/>
          <w:color w:val="2F5DE3"/>
          <w:sz w:val="20"/>
          <w:szCs w:val="20"/>
        </w:rPr>
        <w:t>Why the DCF Is Now the More Trusted Number</w:t>
      </w:r>
    </w:p>
    <w:p w14:paraId="5CFE01C7" w14:textId="77777777" w:rsidR="00D44DED" w:rsidRDefault="00CF40B1">
      <w:pPr>
        <w:spacing w:after="140" w:line="268" w:lineRule="auto"/>
      </w:pPr>
      <w:r>
        <w:rPr>
          <w:color w:val="1C1B1A"/>
        </w:rPr>
        <w:t>The DCF derives Unlevered Free Cash Flow directly from the driver-based Projections tab — Revenue, Direct Vehicle &amp; Operating Expense, D&amp;A, and CapEx assumptions — never touching the "Adj. EBITDA" summary line that turned out to be the problem. Its implied price of −$24.13/share was originally treated in this project as the outlier requiring explanation against two more optimistic methods. It no longer needs defending against them: a completely separate calculation — management's own stated 2027 run-rate ta</w:t>
      </w:r>
      <w:r>
        <w:rPr>
          <w:color w:val="1C1B1A"/>
        </w:rPr>
        <w:t>rget of $1 billion, multiplied by the same 7.93x peer multiple already used elsewhere in this memo — produces an Enterprise Value within 5% of the DCF's, and an implied price of −$23.10/share. Two methods that share no common flawed input landing in the same place is a materially stronger form of evidence than three sub-methods inside one workbook agreeing with each other because they shared the same overstated EBITDA line.</w:t>
      </w:r>
    </w:p>
    <w:p w14:paraId="179705EA" w14:textId="77777777" w:rsidR="00D44DED" w:rsidRDefault="00CF40B1">
      <w:pPr>
        <w:spacing w:after="140" w:line="268" w:lineRule="auto"/>
      </w:pPr>
      <w:r>
        <w:rPr>
          <w:color w:val="1C1B1A"/>
        </w:rPr>
        <w:t>This does not mean the equity is worth exactly negative $24. DCF outputs are highly sensitive to WACC and terminal growth assumptions, and a small change in either could move the result meaningfully without changing the qualitative conclusion. What it does mean is that there is no currently defensible basis in this workbook for publishing a positive price target.</w:t>
      </w:r>
    </w:p>
    <w:p w14:paraId="17CA9496" w14:textId="77777777" w:rsidR="00D44DED" w:rsidRDefault="00CF40B1">
      <w:pPr>
        <w:pStyle w:val="Heading1"/>
        <w:pBdr>
          <w:bottom w:val="single" w:sz="8" w:space="4" w:color="2F5DE3"/>
        </w:pBdr>
        <w:spacing w:before="280" w:after="120"/>
      </w:pPr>
      <w:r>
        <w:rPr>
          <w:b/>
          <w:bCs/>
          <w:color w:val="1C1B1A"/>
          <w:sz w:val="24"/>
          <w:szCs w:val="24"/>
        </w:rPr>
        <w:t>Risks</w:t>
      </w:r>
    </w:p>
    <w:p w14:paraId="51B30945" w14:textId="77777777" w:rsidR="00D44DED" w:rsidRDefault="00CF40B1">
      <w:pPr>
        <w:spacing w:after="20"/>
      </w:pPr>
      <w:r>
        <w:rPr>
          <w:b/>
          <w:bCs/>
          <w:color w:val="1C1B1A"/>
          <w:sz w:val="19"/>
          <w:szCs w:val="19"/>
        </w:rPr>
        <w:t>Leverage exceeds even a successful turnaround's likely enterprise value.</w:t>
      </w:r>
    </w:p>
    <w:p w14:paraId="5C77808B" w14:textId="77777777" w:rsidR="00D44DED" w:rsidRDefault="00CF40B1">
      <w:pPr>
        <w:spacing w:after="130" w:line="260" w:lineRule="auto"/>
      </w:pPr>
      <w:r>
        <w:rPr>
          <w:color w:val="1C1B1A"/>
          <w:sz w:val="18"/>
          <w:szCs w:val="18"/>
        </w:rPr>
        <w:lastRenderedPageBreak/>
        <w:t>Two independently-built methods now agree: Net Debt (~$16.2–21B) exceeds a defensible Enterprise Value estimate whether built from this model's own driver-based DCF or from management's own 2027 EBITDA target at a peer multiple. Consistent with negative disclosed stockholders' equity and an Altman Z-Score of 0.11 (StockAnalysis.com, Aug 2026).</w:t>
      </w:r>
    </w:p>
    <w:p w14:paraId="6F8B4496" w14:textId="77777777" w:rsidR="00D44DED" w:rsidRDefault="00CF40B1">
      <w:pPr>
        <w:spacing w:after="20"/>
      </w:pPr>
      <w:r>
        <w:rPr>
          <w:b/>
          <w:bCs/>
          <w:color w:val="1C1B1A"/>
          <w:sz w:val="19"/>
          <w:szCs w:val="19"/>
        </w:rPr>
        <w:t>This memo's own valuation model contained a material EBITDA-definition error.</w:t>
      </w:r>
    </w:p>
    <w:p w14:paraId="4CD32481" w14:textId="77777777" w:rsidR="00D44DED" w:rsidRDefault="00CF40B1">
      <w:pPr>
        <w:spacing w:after="130" w:line="260" w:lineRule="auto"/>
      </w:pPr>
      <w:r>
        <w:rPr>
          <w:color w:val="1C1B1A"/>
          <w:sz w:val="18"/>
          <w:szCs w:val="18"/>
        </w:rPr>
        <w:t>A ~10x gap between this model's derived EBITDA and Hertz's own reported "Adjusted Corporate EBITDA" was found during an accuracy review after an initial (now-superseded) draft had already published a specific Buy rating and price target. Disclosed here in full rather than silently corrected, because it materially changes the conclusion and readers of any earlier version should be aware of it.</w:t>
      </w:r>
    </w:p>
    <w:p w14:paraId="5B2C45FF" w14:textId="77777777" w:rsidR="00D44DED" w:rsidRDefault="00CF40B1">
      <w:pPr>
        <w:spacing w:after="20"/>
      </w:pPr>
      <w:r>
        <w:rPr>
          <w:b/>
          <w:bCs/>
          <w:color w:val="1C1B1A"/>
          <w:sz w:val="19"/>
          <w:szCs w:val="19"/>
        </w:rPr>
        <w:t>Recalls are a recurring, quantified earnings drag, not a one-off.</w:t>
      </w:r>
    </w:p>
    <w:p w14:paraId="4C863F5F" w14:textId="77777777" w:rsidR="00D44DED" w:rsidRDefault="00CF40B1">
      <w:pPr>
        <w:spacing w:after="130" w:line="260" w:lineRule="auto"/>
      </w:pPr>
      <w:r>
        <w:rPr>
          <w:color w:val="1C1B1A"/>
          <w:sz w:val="18"/>
          <w:szCs w:val="18"/>
        </w:rPr>
        <w:t>Recall volume was up over 300% year-over-year in Q2 2026, impacting ~15,000 vehicles/month and representing over $55M of EBITDA impact across the first half of 2026 alone — a pattern across three consecutive quarters (Q4 2025, Q1 2026, Q2 2026).</w:t>
      </w:r>
    </w:p>
    <w:p w14:paraId="553A0364" w14:textId="77777777" w:rsidR="00D44DED" w:rsidRDefault="00CF40B1">
      <w:pPr>
        <w:spacing w:after="20"/>
      </w:pPr>
      <w:r>
        <w:rPr>
          <w:b/>
          <w:bCs/>
          <w:color w:val="1C1B1A"/>
          <w:sz w:val="19"/>
          <w:szCs w:val="19"/>
        </w:rPr>
        <w:t>No insider is buying, and the largest institutional holder just left.</w:t>
      </w:r>
    </w:p>
    <w:p w14:paraId="2DA0F20A" w14:textId="77777777" w:rsidR="00D44DED" w:rsidRDefault="00CF40B1">
      <w:pPr>
        <w:spacing w:after="130" w:line="260" w:lineRule="auto"/>
      </w:pPr>
      <w:r>
        <w:rPr>
          <w:color w:val="1C1B1A"/>
          <w:sz w:val="18"/>
          <w:szCs w:val="18"/>
        </w:rPr>
        <w:t>Zero open-market purchases by any director or named executive officer in the trailing 12 months (one open-market sale, by the COO). Bill Ackman's Pershing Square — HTZ's most closely watched activist holder since April 2025 — fully exited its position on Aug 13, 2026.</w:t>
      </w:r>
    </w:p>
    <w:p w14:paraId="127233E4" w14:textId="77777777" w:rsidR="00D44DED" w:rsidRDefault="00CF40B1">
      <w:pPr>
        <w:spacing w:after="20"/>
      </w:pPr>
      <w:r>
        <w:rPr>
          <w:b/>
          <w:bCs/>
          <w:color w:val="1C1B1A"/>
          <w:sz w:val="19"/>
          <w:szCs w:val="19"/>
        </w:rPr>
        <w:t>Analyst consensus is aligned with this memo's caution.</w:t>
      </w:r>
    </w:p>
    <w:p w14:paraId="423D6587" w14:textId="77777777" w:rsidR="00D44DED" w:rsidRDefault="00CF40B1">
      <w:pPr>
        <w:spacing w:after="130" w:line="260" w:lineRule="auto"/>
      </w:pPr>
      <w:r>
        <w:rPr>
          <w:color w:val="1C1B1A"/>
          <w:sz w:val="18"/>
          <w:szCs w:val="18"/>
        </w:rPr>
        <w:t>Moderate Sell / Hold consensus across 8 covering analysts, 0 at Buy. Multiple firms cut price targets sharply around the Aug 2026 earnings cluster (Jefferies to $2 from $6; Susquehanna to $2.50 from $5.50; Morgan Stanley to $3.50 from $5).</w:t>
      </w:r>
    </w:p>
    <w:p w14:paraId="486CD29F" w14:textId="77777777" w:rsidR="00D44DED" w:rsidRDefault="00CF40B1">
      <w:pPr>
        <w:spacing w:after="20"/>
      </w:pPr>
      <w:r>
        <w:rPr>
          <w:b/>
          <w:bCs/>
          <w:color w:val="1C1B1A"/>
          <w:sz w:val="19"/>
          <w:szCs w:val="19"/>
        </w:rPr>
        <w:t>Intense, undifferentiated competition.</w:t>
      </w:r>
    </w:p>
    <w:p w14:paraId="11D8EACB" w14:textId="77777777" w:rsidR="00D44DED" w:rsidRDefault="00CF40B1">
      <w:pPr>
        <w:spacing w:after="130" w:line="260" w:lineRule="auto"/>
      </w:pPr>
      <w:r>
        <w:rPr>
          <w:color w:val="1C1B1A"/>
          <w:sz w:val="18"/>
          <w:szCs w:val="18"/>
        </w:rPr>
        <w:t>Avis Budget Group and Sixt compete directly and are named explicitly in Hertz's own 10-K, alongside peer-to-peer platforms that the company itself says "have operational and financial advantages over incumbent vehicle rental operators" at many airport locations.</w:t>
      </w:r>
    </w:p>
    <w:p w14:paraId="49B416BB" w14:textId="77777777" w:rsidR="00D44DED" w:rsidRDefault="00CF40B1">
      <w:pPr>
        <w:spacing w:after="20"/>
      </w:pPr>
      <w:r>
        <w:rPr>
          <w:b/>
          <w:bCs/>
          <w:color w:val="1C1B1A"/>
          <w:sz w:val="19"/>
          <w:szCs w:val="19"/>
        </w:rPr>
        <w:t>Used-vehicle market softness pressures residual values.</w:t>
      </w:r>
    </w:p>
    <w:p w14:paraId="1CD8EB7D" w14:textId="77777777" w:rsidR="00D44DED" w:rsidRDefault="00CF40B1">
      <w:pPr>
        <w:spacing w:after="130" w:line="260" w:lineRule="auto"/>
      </w:pPr>
      <w:r>
        <w:rPr>
          <w:color w:val="1C1B1A"/>
          <w:sz w:val="18"/>
          <w:szCs w:val="18"/>
        </w:rPr>
        <w:t>Management disclosed "unexpected softness in the used car market" caused realized losses on vehicle sales in May 2026, pushing Net DPU guidance higher than an earlier, lower estimate for Q2 2026 — a market-wide dynamic outside the company's control that flows directly through depreciation expense.</w:t>
      </w:r>
    </w:p>
    <w:p w14:paraId="48CECEEF" w14:textId="77777777" w:rsidR="00D44DED" w:rsidRDefault="00D44DED">
      <w:pPr>
        <w:pageBreakBefore/>
      </w:pPr>
    </w:p>
    <w:p w14:paraId="40E58D54" w14:textId="77777777" w:rsidR="00D44DED" w:rsidRDefault="00CF40B1">
      <w:pPr>
        <w:pStyle w:val="Heading1"/>
        <w:pBdr>
          <w:bottom w:val="single" w:sz="8" w:space="4" w:color="2F5DE3"/>
        </w:pBdr>
        <w:spacing w:before="280" w:after="120"/>
      </w:pPr>
      <w:r>
        <w:rPr>
          <w:b/>
          <w:bCs/>
          <w:color w:val="1C1B1A"/>
          <w:sz w:val="24"/>
          <w:szCs w:val="24"/>
        </w:rPr>
        <w:t>What Would Change This Call</w:t>
      </w:r>
    </w:p>
    <w:p w14:paraId="416B9593" w14:textId="77777777" w:rsidR="00D44DED" w:rsidRDefault="00CF40B1">
      <w:pPr>
        <w:pStyle w:val="ListParagraph"/>
        <w:numPr>
          <w:ilvl w:val="0"/>
          <w:numId w:val="1"/>
        </w:numPr>
        <w:spacing w:after="90" w:line="260" w:lineRule="auto"/>
      </w:pPr>
      <w:r>
        <w:rPr>
          <w:color w:val="1C1B1A"/>
        </w:rPr>
        <w:t>A rebuilt historical income statement anchored on Hertz's own "Adjusted Corporate EBITDA" definition throughout — the single highest-priority follow-up before any specific price target should be trusted.</w:t>
      </w:r>
    </w:p>
    <w:p w14:paraId="5755FBDF" w14:textId="77777777" w:rsidR="00D44DED" w:rsidRDefault="00CF40B1">
      <w:pPr>
        <w:pStyle w:val="ListParagraph"/>
        <w:numPr>
          <w:ilvl w:val="0"/>
          <w:numId w:val="1"/>
        </w:numPr>
        <w:spacing w:after="90" w:line="260" w:lineRule="auto"/>
      </w:pPr>
      <w:r>
        <w:rPr>
          <w:color w:val="1C1B1A"/>
        </w:rPr>
        <w:t>Continued execution against the 2027 $1B EBITDA run-rate target with visible progress toward closing the gap to Net Debt — each quarter's print against guidance is a real, trackable checkpoint.</w:t>
      </w:r>
    </w:p>
    <w:p w14:paraId="18AC8131" w14:textId="77777777" w:rsidR="00D44DED" w:rsidRDefault="00CF40B1">
      <w:pPr>
        <w:pStyle w:val="ListParagraph"/>
        <w:numPr>
          <w:ilvl w:val="0"/>
          <w:numId w:val="1"/>
        </w:numPr>
        <w:spacing w:after="90" w:line="260" w:lineRule="auto"/>
      </w:pPr>
      <w:r>
        <w:rPr>
          <w:color w:val="1C1B1A"/>
        </w:rPr>
        <w:t>Any concrete deleveraging event (asset sales, further equity issuance, debt-for-equity exchange) that shrinks the Net Debt side of the equation rather than relying solely on EBITDA growth to close it.</w:t>
      </w:r>
    </w:p>
    <w:p w14:paraId="2CE4ECD9" w14:textId="77777777" w:rsidR="00D44DED" w:rsidRDefault="00CF40B1">
      <w:pPr>
        <w:pStyle w:val="ListParagraph"/>
        <w:numPr>
          <w:ilvl w:val="0"/>
          <w:numId w:val="1"/>
        </w:numPr>
        <w:spacing w:after="90" w:line="260" w:lineRule="auto"/>
      </w:pPr>
      <w:r>
        <w:rPr>
          <w:color w:val="1C1B1A"/>
        </w:rPr>
        <w:t>A reversal in the insider-buying signal — a single open-market purchase by a director or named executive officer would be a meaningful, easy-to-verify change in the picture this memo currently sees.</w:t>
      </w:r>
    </w:p>
    <w:p w14:paraId="655F1593" w14:textId="77777777" w:rsidR="00D44DED" w:rsidRDefault="00CF40B1">
      <w:pPr>
        <w:pStyle w:val="Heading1"/>
        <w:pBdr>
          <w:bottom w:val="single" w:sz="8" w:space="4" w:color="2F5DE3"/>
        </w:pBdr>
        <w:spacing w:before="280" w:after="120"/>
      </w:pPr>
      <w:r>
        <w:rPr>
          <w:b/>
          <w:bCs/>
          <w:color w:val="1C1B1A"/>
          <w:sz w:val="24"/>
          <w:szCs w:val="24"/>
        </w:rPr>
        <w:t>Exhibits</w:t>
      </w:r>
    </w:p>
    <w:p w14:paraId="0BCB92F4" w14:textId="77777777" w:rsidR="00D44DED" w:rsidRDefault="00CF40B1">
      <w:pPr>
        <w:spacing w:after="140" w:line="268" w:lineRule="auto"/>
      </w:pPr>
      <w:r>
        <w:rPr>
          <w:color w:val="1C1B1A"/>
        </w:rPr>
        <w:t>Full supporting detail — including the DCF tab's complete "Critical Finding" writeup, the corrected Valuation Summary, and a caveat added to the Scenarios tab — is provided in the accompanying workbook (HTZ_Qualitative_Analysis_Actual_Final_Template.xlsx). The share-price history chart (Share Prices tab) and the full scenario build (Scenarios tab) are included there rather than reproduced in full here.</w:t>
      </w:r>
    </w:p>
    <w:p w14:paraId="1BD1595C" w14:textId="77777777" w:rsidR="00D44DED" w:rsidRDefault="00CF40B1">
      <w:pPr>
        <w:spacing w:after="140" w:line="268" w:lineRule="auto"/>
      </w:pPr>
      <w:r>
        <w:rPr>
          <w:i/>
          <w:iCs/>
          <w:color w:val="1C1B1A"/>
        </w:rPr>
        <w:t>Every figure in this memo traces to a specific tab and, in most cases, a specific cell comment citing its source — this memo is a summary of that model, not a standalone document.</w:t>
      </w:r>
    </w:p>
    <w:sectPr w:rsidR="00D44DED">
      <w:headerReference w:type="default" r:id="rId7"/>
      <w:footerReference w:type="default" r:id="rId8"/>
      <w:pgSz w:w="12240" w:h="15840"/>
      <w:pgMar w:top="900" w:right="1000" w:bottom="9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1AF6B" w14:textId="77777777" w:rsidR="00CF40B1" w:rsidRDefault="00CF40B1">
      <w:r>
        <w:separator/>
      </w:r>
    </w:p>
  </w:endnote>
  <w:endnote w:type="continuationSeparator" w:id="0">
    <w:p w14:paraId="3B29C7DA" w14:textId="77777777" w:rsidR="00CF40B1" w:rsidRDefault="00CF4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C4E5" w14:textId="77777777" w:rsidR="00D44DED" w:rsidRDefault="00CF40B1">
    <w:pPr>
      <w:jc w:val="center"/>
    </w:pPr>
    <w:r>
      <w:rPr>
        <w:i/>
        <w:iCs/>
        <w:color w:val="6F6C67"/>
        <w:sz w:val="14"/>
        <w:szCs w:val="14"/>
      </w:rPr>
      <w:t xml:space="preserve">For educational purposes only — not investment advice.  </w:t>
    </w:r>
    <w:r>
      <w:rPr>
        <w:color w:val="6F6C67"/>
        <w:sz w:val="14"/>
        <w:szCs w:val="14"/>
      </w:rPr>
      <w:t xml:space="preserve">Page </w:t>
    </w:r>
    <w:r>
      <w:rPr>
        <w:color w:val="6F6C67"/>
        <w:sz w:val="14"/>
        <w:szCs w:val="14"/>
      </w:rPr>
      <w:fldChar w:fldCharType="begin"/>
    </w:r>
    <w:r>
      <w:rPr>
        <w:color w:val="6F6C67"/>
        <w:sz w:val="14"/>
        <w:szCs w:val="14"/>
      </w:rPr>
      <w:instrText>PAGE</w:instrText>
    </w:r>
    <w:r>
      <w:rPr>
        <w:color w:val="6F6C67"/>
        <w:sz w:val="14"/>
        <w:szCs w:val="14"/>
      </w:rPr>
      <w:fldChar w:fldCharType="separate"/>
    </w:r>
    <w:r w:rsidR="00831C48">
      <w:rPr>
        <w:noProof/>
        <w:color w:val="6F6C67"/>
        <w:sz w:val="14"/>
        <w:szCs w:val="14"/>
      </w:rPr>
      <w:t>1</w:t>
    </w:r>
    <w:r>
      <w:rPr>
        <w:color w:val="6F6C67"/>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13098" w14:textId="77777777" w:rsidR="00CF40B1" w:rsidRDefault="00CF40B1">
      <w:r>
        <w:separator/>
      </w:r>
    </w:p>
  </w:footnote>
  <w:footnote w:type="continuationSeparator" w:id="0">
    <w:p w14:paraId="0A2D1F4B" w14:textId="77777777" w:rsidR="00CF40B1" w:rsidRDefault="00CF4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54644" w14:textId="77777777" w:rsidR="00D44DED" w:rsidRDefault="00CF40B1">
    <w:pPr>
      <w:jc w:val="right"/>
    </w:pPr>
    <w:r>
      <w:rPr>
        <w:b/>
        <w:bCs/>
        <w:color w:val="6F6C67"/>
        <w:sz w:val="14"/>
        <w:szCs w:val="14"/>
      </w:rPr>
      <w:t>HERTZ GLOBAL HOLDINGS (NASDAQ: HTZ) — INVESTMENT MEMO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C67CA"/>
    <w:multiLevelType w:val="hybridMultilevel"/>
    <w:tmpl w:val="686C5B66"/>
    <w:lvl w:ilvl="0" w:tplc="DDCC9F5A">
      <w:start w:val="1"/>
      <w:numFmt w:val="bullet"/>
      <w:lvlText w:val="●"/>
      <w:lvlJc w:val="left"/>
      <w:pPr>
        <w:ind w:left="720" w:hanging="360"/>
      </w:pPr>
    </w:lvl>
    <w:lvl w:ilvl="1" w:tplc="AEE03C68">
      <w:start w:val="1"/>
      <w:numFmt w:val="bullet"/>
      <w:lvlText w:val="○"/>
      <w:lvlJc w:val="left"/>
      <w:pPr>
        <w:ind w:left="1440" w:hanging="360"/>
      </w:pPr>
    </w:lvl>
    <w:lvl w:ilvl="2" w:tplc="D7324F7A">
      <w:start w:val="1"/>
      <w:numFmt w:val="bullet"/>
      <w:lvlText w:val="■"/>
      <w:lvlJc w:val="left"/>
      <w:pPr>
        <w:ind w:left="2160" w:hanging="360"/>
      </w:pPr>
    </w:lvl>
    <w:lvl w:ilvl="3" w:tplc="6BECC83C">
      <w:start w:val="1"/>
      <w:numFmt w:val="bullet"/>
      <w:lvlText w:val="●"/>
      <w:lvlJc w:val="left"/>
      <w:pPr>
        <w:ind w:left="2880" w:hanging="360"/>
      </w:pPr>
    </w:lvl>
    <w:lvl w:ilvl="4" w:tplc="4A46DA94">
      <w:start w:val="1"/>
      <w:numFmt w:val="bullet"/>
      <w:lvlText w:val="○"/>
      <w:lvlJc w:val="left"/>
      <w:pPr>
        <w:ind w:left="3600" w:hanging="360"/>
      </w:pPr>
    </w:lvl>
    <w:lvl w:ilvl="5" w:tplc="DE920A4C">
      <w:start w:val="1"/>
      <w:numFmt w:val="bullet"/>
      <w:lvlText w:val="■"/>
      <w:lvlJc w:val="left"/>
      <w:pPr>
        <w:ind w:left="4320" w:hanging="360"/>
      </w:pPr>
    </w:lvl>
    <w:lvl w:ilvl="6" w:tplc="500A23CA">
      <w:start w:val="1"/>
      <w:numFmt w:val="bullet"/>
      <w:lvlText w:val="●"/>
      <w:lvlJc w:val="left"/>
      <w:pPr>
        <w:ind w:left="5040" w:hanging="360"/>
      </w:pPr>
    </w:lvl>
    <w:lvl w:ilvl="7" w:tplc="7BEA35A8">
      <w:start w:val="1"/>
      <w:numFmt w:val="bullet"/>
      <w:lvlText w:val="●"/>
      <w:lvlJc w:val="left"/>
      <w:pPr>
        <w:ind w:left="5760" w:hanging="360"/>
      </w:pPr>
    </w:lvl>
    <w:lvl w:ilvl="8" w:tplc="E1C04738">
      <w:start w:val="1"/>
      <w:numFmt w:val="bullet"/>
      <w:lvlText w:val="●"/>
      <w:lvlJc w:val="left"/>
      <w:pPr>
        <w:ind w:left="6480" w:hanging="360"/>
      </w:pPr>
    </w:lvl>
  </w:abstractNum>
  <w:num w:numId="1" w16cid:durableId="6104732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DED"/>
    <w:rsid w:val="00831C48"/>
    <w:rsid w:val="00972714"/>
    <w:rsid w:val="00CF40B1"/>
    <w:rsid w:val="00D44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C958D"/>
  <w15:docId w15:val="{6B864AB4-B42C-496F-9240-1DD147B74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2167</Words>
  <Characters>12352</Characters>
  <Application>Microsoft Office Word</Application>
  <DocSecurity>0</DocSecurity>
  <Lines>102</Lines>
  <Paragraphs>28</Paragraphs>
  <ScaleCrop>false</ScaleCrop>
  <Company/>
  <LinksUpToDate>false</LinksUpToDate>
  <CharactersWithSpaces>14491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Hutton</cp:lastModifiedBy>
  <cp:revision>2</cp:revision>
  <dcterms:created xsi:type="dcterms:W3CDTF">2026-08-23T05:56:00Z</dcterms:created>
  <dcterms:modified xsi:type="dcterms:W3CDTF">2026-08-23T05:56:00Z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46a6d52d-cde9-4c99-89cc-b3af53888bf5</vt:lpwstr>
  </property>
</Properties>
</file>