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9A59C">
      <w:pPr>
        <w:rPr>
          <w:rFonts w:hint="default"/>
          <w:lang w:val="en-US"/>
        </w:rPr>
      </w:pPr>
    </w:p>
    <w:p w14:paraId="25CF6CF1">
      <w:pPr>
        <w:rPr>
          <w:rFonts w:hint="default"/>
          <w:lang w:val="en-US"/>
        </w:rPr>
      </w:pPr>
      <w:r>
        <w:rPr>
          <w:rFonts w:hint="default" w:ascii="Times New Roman" w:hAnsi="Times New Roman" w:cs="Times New Roman"/>
          <w:b/>
          <w:bCs/>
          <w:sz w:val="28"/>
          <w:szCs w:val="28"/>
          <w:lang w:val="en-US"/>
        </w:rPr>
        <w:t xml:space="preserve">Siltronic Financial Memo                </w:t>
      </w:r>
      <w:r>
        <w:rPr>
          <w:rFonts w:hint="default"/>
          <w:lang w:val="en-US"/>
        </w:rPr>
        <w:t xml:space="preserve">                                      Student Name: Fariel Shafee</w:t>
      </w:r>
    </w:p>
    <w:p w14:paraId="183A5D89">
      <w:pPr>
        <w:rPr>
          <w:rFonts w:hint="default"/>
          <w:lang w:val="en-US"/>
        </w:rPr>
      </w:pPr>
    </w:p>
    <w:p w14:paraId="5922DA2E">
      <w:pPr>
        <w:rPr>
          <w:rFonts w:hint="default"/>
          <w:lang w:val="en-US"/>
        </w:rPr>
      </w:pPr>
    </w:p>
    <w:p w14:paraId="05CED810">
      <w:pPr>
        <w:rPr>
          <w:rFonts w:hint="default"/>
          <w:lang w:val="en-US"/>
        </w:rPr>
      </w:pPr>
    </w:p>
    <w:p w14:paraId="4DC72275">
      <w:pPr>
        <w:rPr>
          <w:rFonts w:hint="default"/>
          <w:lang w:val="en-US"/>
        </w:rPr>
      </w:pPr>
    </w:p>
    <w:p w14:paraId="5EBBC562">
      <w:pPr>
        <w:rPr>
          <w:rFonts w:hint="default"/>
          <w:lang w:val="en-US"/>
        </w:rPr>
      </w:pPr>
      <w:r>
        <w:rPr>
          <w:rFonts w:hint="default"/>
          <w:lang w:val="en-US"/>
        </w:rPr>
        <w:t xml:space="preserve"> </w:t>
      </w:r>
      <w:r>
        <w:rPr>
          <w:rFonts w:hint="default"/>
          <w:lang w:val="en-US"/>
        </w:rPr>
        <w:drawing>
          <wp:inline distT="0" distB="0" distL="114300" distR="114300">
            <wp:extent cx="1594485" cy="2695575"/>
            <wp:effectExtent l="0" t="0" r="5715" b="1905"/>
            <wp:docPr id="2" name="Picture 2" descr="base_case_valuation_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se_case_valuation_box"/>
                    <pic:cNvPicPr>
                      <a:picLocks noChangeAspect="1"/>
                    </pic:cNvPicPr>
                  </pic:nvPicPr>
                  <pic:blipFill>
                    <a:blip r:embed="rId4"/>
                    <a:stretch>
                      <a:fillRect/>
                    </a:stretch>
                  </pic:blipFill>
                  <pic:spPr>
                    <a:xfrm>
                      <a:off x="0" y="0"/>
                      <a:ext cx="1594485" cy="2695575"/>
                    </a:xfrm>
                    <a:prstGeom prst="rect">
                      <a:avLst/>
                    </a:prstGeom>
                  </pic:spPr>
                </pic:pic>
              </a:graphicData>
            </a:graphic>
          </wp:inline>
        </w:drawing>
      </w:r>
      <w:r>
        <w:rPr>
          <w:rFonts w:hint="default"/>
          <w:lang w:val="en-US"/>
        </w:rPr>
        <w:t xml:space="preserve">                                        </w:t>
      </w:r>
      <w:r>
        <w:rPr>
          <w:rFonts w:hint="default"/>
          <w:lang w:val="en-US"/>
        </w:rPr>
        <w:drawing>
          <wp:inline distT="0" distB="0" distL="114300" distR="114300">
            <wp:extent cx="1967230" cy="2105660"/>
            <wp:effectExtent l="0" t="0" r="13970" b="12700"/>
            <wp:docPr id="1" name="Picture 1" descr="adjusted_close_chart_google_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djusted_close_chart_google_doc"/>
                    <pic:cNvPicPr>
                      <a:picLocks noChangeAspect="1"/>
                    </pic:cNvPicPr>
                  </pic:nvPicPr>
                  <pic:blipFill>
                    <a:blip r:embed="rId5"/>
                    <a:stretch>
                      <a:fillRect/>
                    </a:stretch>
                  </pic:blipFill>
                  <pic:spPr>
                    <a:xfrm>
                      <a:off x="0" y="0"/>
                      <a:ext cx="1967230" cy="2105660"/>
                    </a:xfrm>
                    <a:prstGeom prst="rect">
                      <a:avLst/>
                    </a:prstGeom>
                  </pic:spPr>
                </pic:pic>
              </a:graphicData>
            </a:graphic>
          </wp:inline>
        </w:drawing>
      </w:r>
      <w:r>
        <w:rPr>
          <w:rFonts w:hint="default"/>
          <w:lang w:val="en-US"/>
        </w:rPr>
        <w:t xml:space="preserve">                                                                                </w:t>
      </w:r>
    </w:p>
    <w:p w14:paraId="1E7F6FB1">
      <w:pPr>
        <w:rPr>
          <w:rFonts w:hint="default"/>
          <w:lang w:val="en-US"/>
        </w:rPr>
      </w:pPr>
    </w:p>
    <w:p w14:paraId="4C7F0E2B">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Executive Summary — Siltronic AG</w:t>
      </w:r>
    </w:p>
    <w:p w14:paraId="753750C5">
      <w:pPr>
        <w:pStyle w:val="7"/>
        <w:keepNext w:val="0"/>
        <w:keepLines w:val="0"/>
        <w:widowControl/>
        <w:suppressLineNumbers w:val="0"/>
        <w:rPr>
          <w:rStyle w:val="8"/>
          <w:rFonts w:hint="default" w:ascii="Times New Roman" w:hAnsi="Times New Roman" w:cs="Times New Roman"/>
          <w:lang w:val="en-US"/>
        </w:rPr>
      </w:pPr>
      <w:r>
        <w:rPr>
          <w:rFonts w:hint="default" w:ascii="Times New Roman" w:hAnsi="Times New Roman" w:cs="Times New Roman"/>
        </w:rPr>
        <w:t xml:space="preserve">Siltronic represents an opportunity to acquire a high-quality, strategically critical semiconductor materials business at </w:t>
      </w:r>
      <w:r>
        <w:rPr>
          <w:rStyle w:val="8"/>
          <w:rFonts w:hint="default" w:ascii="Times New Roman" w:hAnsi="Times New Roman" w:cs="Times New Roman"/>
        </w:rPr>
        <w:t>depressed mid-cycle earnings</w:t>
      </w:r>
      <w:r>
        <w:rPr>
          <w:rStyle w:val="8"/>
          <w:rFonts w:hint="default" w:ascii="Times New Roman" w:hAnsi="Times New Roman" w:cs="Times New Roman"/>
          <w:lang w:val="en-US"/>
        </w:rPr>
        <w:t>.</w:t>
      </w:r>
    </w:p>
    <w:p w14:paraId="53B9CA1E">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Our </w:t>
      </w:r>
      <w:r>
        <w:rPr>
          <w:rStyle w:val="8"/>
          <w:rFonts w:hint="default" w:ascii="Times New Roman" w:hAnsi="Times New Roman" w:cs="Times New Roman"/>
        </w:rPr>
        <w:t>Base case</w:t>
      </w:r>
      <w:r>
        <w:rPr>
          <w:rFonts w:hint="default" w:ascii="Times New Roman" w:hAnsi="Times New Roman" w:cs="Times New Roman"/>
        </w:rPr>
        <w:t xml:space="preserve"> assumes FY2028 revenue of </w:t>
      </w:r>
      <w:r>
        <w:rPr>
          <w:rStyle w:val="8"/>
          <w:rFonts w:hint="default" w:ascii="Times New Roman" w:hAnsi="Times New Roman" w:cs="Times New Roman"/>
        </w:rPr>
        <w:t>~€4.9bn</w:t>
      </w:r>
      <w:r>
        <w:rPr>
          <w:rFonts w:hint="default" w:ascii="Times New Roman" w:hAnsi="Times New Roman" w:cs="Times New Roman"/>
        </w:rPr>
        <w:t xml:space="preserve">, EBITDA margins of </w:t>
      </w:r>
      <w:r>
        <w:rPr>
          <w:rStyle w:val="8"/>
          <w:rFonts w:hint="default" w:ascii="Times New Roman" w:hAnsi="Times New Roman" w:cs="Times New Roman"/>
        </w:rPr>
        <w:t>~12%</w:t>
      </w:r>
      <w:r>
        <w:rPr>
          <w:rFonts w:hint="default" w:ascii="Times New Roman" w:hAnsi="Times New Roman" w:cs="Times New Roman"/>
        </w:rPr>
        <w:t xml:space="preserve">, and an </w:t>
      </w:r>
      <w:r>
        <w:rPr>
          <w:rStyle w:val="8"/>
          <w:rFonts w:hint="default" w:ascii="Times New Roman" w:hAnsi="Times New Roman" w:cs="Times New Roman"/>
        </w:rPr>
        <w:t>11× EV/EBITDA multiple</w:t>
      </w:r>
      <w:r>
        <w:rPr>
          <w:rFonts w:hint="default" w:ascii="Times New Roman" w:hAnsi="Times New Roman" w:cs="Times New Roman"/>
        </w:rPr>
        <w:t xml:space="preserve">, consistent with historical mid-cycle trading. This </w:t>
      </w:r>
      <w:r>
        <w:rPr>
          <w:rFonts w:hint="default" w:ascii="Times New Roman" w:hAnsi="Times New Roman" w:cs="Times New Roman"/>
          <w:lang w:val="en-US"/>
        </w:rPr>
        <w:t>equates</w:t>
      </w:r>
      <w:r>
        <w:rPr>
          <w:rFonts w:hint="default" w:ascii="Times New Roman" w:hAnsi="Times New Roman" w:cs="Times New Roman"/>
        </w:rPr>
        <w:t xml:space="preserve"> to a </w:t>
      </w:r>
      <w:r>
        <w:rPr>
          <w:rStyle w:val="8"/>
          <w:rFonts w:hint="default" w:ascii="Times New Roman" w:hAnsi="Times New Roman" w:cs="Times New Roman"/>
        </w:rPr>
        <w:t>~35% 3-year IRR</w:t>
      </w:r>
      <w:r>
        <w:rPr>
          <w:rFonts w:hint="default" w:ascii="Times New Roman" w:hAnsi="Times New Roman" w:cs="Times New Roman"/>
        </w:rPr>
        <w:t xml:space="preserve">. The Base case </w:t>
      </w:r>
      <w:r>
        <w:rPr>
          <w:rFonts w:hint="default" w:ascii="Times New Roman" w:hAnsi="Times New Roman" w:cs="Times New Roman"/>
          <w:lang w:val="en-US"/>
        </w:rPr>
        <w:t xml:space="preserve">relies </w:t>
      </w:r>
      <w:r>
        <w:rPr>
          <w:rFonts w:hint="default" w:ascii="Times New Roman" w:hAnsi="Times New Roman" w:cs="Times New Roman"/>
        </w:rPr>
        <w:t>on utilization normalization and steady demand from logic and memory customers.</w:t>
      </w:r>
    </w:p>
    <w:p w14:paraId="49C9DAA2">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Siltronic exhibits </w:t>
      </w:r>
      <w:r>
        <w:rPr>
          <w:rStyle w:val="8"/>
          <w:rFonts w:hint="default" w:ascii="Times New Roman" w:hAnsi="Times New Roman" w:cs="Times New Roman"/>
        </w:rPr>
        <w:t>favorable asymmetry</w:t>
      </w:r>
      <w:r>
        <w:rPr>
          <w:rFonts w:hint="default" w:ascii="Times New Roman" w:hAnsi="Times New Roman" w:cs="Times New Roman"/>
        </w:rPr>
        <w:t xml:space="preserve">, with </w:t>
      </w:r>
      <w:r>
        <w:rPr>
          <w:rStyle w:val="8"/>
          <w:rFonts w:hint="default" w:ascii="Times New Roman" w:hAnsi="Times New Roman" w:cs="Times New Roman"/>
        </w:rPr>
        <w:t>~2.7× upside-to-downside in the Base case</w:t>
      </w:r>
      <w:r>
        <w:rPr>
          <w:rFonts w:hint="default" w:ascii="Times New Roman" w:hAnsi="Times New Roman" w:cs="Times New Roman"/>
        </w:rPr>
        <w:t>. Downside is well-defined and cyclical in nature, while upside benefits from structural semiconductor content growth and long-term supply constraints.</w:t>
      </w:r>
    </w:p>
    <w:p w14:paraId="15592537">
      <w:pPr>
        <w:pStyle w:val="7"/>
        <w:keepNext w:val="0"/>
        <w:keepLines w:val="0"/>
        <w:widowControl/>
        <w:suppressLineNumbers w:val="0"/>
        <w:rPr>
          <w:rFonts w:hint="default" w:ascii="Times New Roman" w:hAnsi="Times New Roman" w:cs="Times New Roman"/>
          <w:lang w:val="en-US"/>
        </w:rPr>
      </w:pPr>
      <w:r>
        <w:rPr>
          <w:rFonts w:hint="default" w:ascii="Times New Roman" w:hAnsi="Times New Roman" w:cs="Times New Roman"/>
        </w:rPr>
        <w:t>We believe this setup offers</w:t>
      </w:r>
      <w:r>
        <w:rPr>
          <w:rFonts w:hint="default" w:ascii="Times New Roman" w:hAnsi="Times New Roman" w:cs="Times New Roman"/>
          <w:lang w:val="en-US"/>
        </w:rPr>
        <w:t xml:space="preserve"> </w:t>
      </w:r>
      <w:r>
        <w:rPr>
          <w:rFonts w:hint="default" w:ascii="Times New Roman" w:hAnsi="Times New Roman" w:cs="Times New Roman"/>
        </w:rPr>
        <w:t>returns skewed meaningfully to the upside for investors</w:t>
      </w:r>
      <w:r>
        <w:rPr>
          <w:rFonts w:hint="default" w:ascii="Times New Roman" w:hAnsi="Times New Roman" w:cs="Times New Roman"/>
          <w:lang w:val="en-US"/>
        </w:rPr>
        <w:t>.</w:t>
      </w:r>
    </w:p>
    <w:p w14:paraId="14F6EECD">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Business Overview — Siltronic AG</w:t>
      </w:r>
    </w:p>
    <w:p w14:paraId="1472AEDC">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Siltronic AG is a </w:t>
      </w:r>
      <w:r>
        <w:rPr>
          <w:rStyle w:val="8"/>
          <w:rFonts w:hint="default" w:ascii="Times New Roman" w:hAnsi="Times New Roman" w:cs="Times New Roman"/>
        </w:rPr>
        <w:t>leading global manufacturer of ultra-pure silicon wafers</w:t>
      </w:r>
      <w:r>
        <w:rPr>
          <w:rFonts w:hint="default" w:ascii="Times New Roman" w:hAnsi="Times New Roman" w:cs="Times New Roman"/>
        </w:rPr>
        <w:t xml:space="preserve">, a mission-critical input for semiconductor fabrication across logic, memory, and power devices. The company serves </w:t>
      </w:r>
      <w:r>
        <w:rPr>
          <w:rStyle w:val="8"/>
          <w:rFonts w:hint="default" w:ascii="Times New Roman" w:hAnsi="Times New Roman" w:cs="Times New Roman"/>
        </w:rPr>
        <w:t>all major global semiconductor manufacturers</w:t>
      </w:r>
      <w:r>
        <w:rPr>
          <w:rFonts w:hint="default" w:ascii="Times New Roman" w:hAnsi="Times New Roman" w:cs="Times New Roman"/>
        </w:rPr>
        <w:t xml:space="preserve">, supplying 200mm and 300mm wafers under </w:t>
      </w:r>
      <w:r>
        <w:rPr>
          <w:rStyle w:val="8"/>
          <w:rFonts w:hint="default" w:ascii="Times New Roman" w:hAnsi="Times New Roman" w:cs="Times New Roman"/>
        </w:rPr>
        <w:t>long-term</w:t>
      </w:r>
      <w:r>
        <w:rPr>
          <w:rStyle w:val="8"/>
          <w:rFonts w:hint="default" w:ascii="Times New Roman" w:hAnsi="Times New Roman" w:cs="Times New Roman"/>
          <w:lang w:val="en-US"/>
        </w:rPr>
        <w:t xml:space="preserve"> </w:t>
      </w:r>
      <w:r>
        <w:rPr>
          <w:rStyle w:val="8"/>
          <w:rFonts w:hint="default" w:ascii="Times New Roman" w:hAnsi="Times New Roman" w:cs="Times New Roman"/>
        </w:rPr>
        <w:t>contracts</w:t>
      </w:r>
      <w:r>
        <w:rPr>
          <w:rFonts w:hint="default" w:ascii="Times New Roman" w:hAnsi="Times New Roman" w:cs="Times New Roman"/>
        </w:rPr>
        <w:t xml:space="preserve"> with high switching costs and stringent qualification requirements.</w:t>
      </w:r>
    </w:p>
    <w:p w14:paraId="2B0E4AD9">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Silicon wafers typically represent </w:t>
      </w:r>
      <w:r>
        <w:rPr>
          <w:rStyle w:val="8"/>
          <w:rFonts w:hint="default" w:ascii="Times New Roman" w:hAnsi="Times New Roman" w:cs="Times New Roman"/>
        </w:rPr>
        <w:t>&lt;2% of total chip manufacturing cost</w:t>
      </w:r>
      <w:r>
        <w:rPr>
          <w:rFonts w:hint="default" w:ascii="Times New Roman" w:hAnsi="Times New Roman" w:cs="Times New Roman"/>
        </w:rPr>
        <w:t xml:space="preserve">, yet directly impact yield, performance, and reliability—making supplier reliability and quality paramount. As a result, Siltronic benefits from </w:t>
      </w:r>
      <w:r>
        <w:rPr>
          <w:rStyle w:val="8"/>
          <w:rFonts w:hint="default" w:ascii="Times New Roman" w:hAnsi="Times New Roman" w:cs="Times New Roman"/>
        </w:rPr>
        <w:t>multi-year customer relationships, high retention, and limited price-based competition</w:t>
      </w:r>
      <w:r>
        <w:rPr>
          <w:rFonts w:hint="default" w:ascii="Times New Roman" w:hAnsi="Times New Roman" w:cs="Times New Roman"/>
        </w:rPr>
        <w:t>.</w:t>
      </w:r>
    </w:p>
    <w:p w14:paraId="7373E476">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Siltronic is currently emerging from a cyclical downturn marked by inventory correction and utilization pressure, which has disproportionately impacted near-term earnings and investor sentiment.</w:t>
      </w:r>
    </w:p>
    <w:p w14:paraId="6B1896A8">
      <w:pPr>
        <w:keepNext w:val="0"/>
        <w:keepLines w:val="0"/>
        <w:widowControl/>
        <w:suppressLineNumbers w:val="0"/>
        <w:rPr>
          <w:rFonts w:hint="default" w:ascii="Times New Roman" w:hAnsi="Times New Roman" w:cs="Times New Roman"/>
        </w:rPr>
      </w:pPr>
    </w:p>
    <w:p w14:paraId="5E197FCC">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Investment Thesis</w:t>
      </w:r>
    </w:p>
    <w:p w14:paraId="7E18F07A">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1. Siltronic provides a </w:t>
      </w:r>
      <w:r>
        <w:rPr>
          <w:rFonts w:hint="default" w:ascii="Times New Roman" w:hAnsi="Times New Roman" w:cs="Times New Roman"/>
          <w:lang w:val="en-US"/>
        </w:rPr>
        <w:t>indispensable catch</w:t>
      </w:r>
      <w:r>
        <w:rPr>
          <w:rFonts w:hint="default" w:ascii="Times New Roman" w:hAnsi="Times New Roman" w:cs="Times New Roman"/>
        </w:rPr>
        <w:t xml:space="preserve"> in the semiconductor value chain</w:t>
      </w:r>
    </w:p>
    <w:p w14:paraId="19C82261">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Siltronic occupies a </w:t>
      </w:r>
      <w:r>
        <w:rPr>
          <w:rStyle w:val="8"/>
          <w:rFonts w:hint="default" w:ascii="Times New Roman" w:hAnsi="Times New Roman" w:cs="Times New Roman"/>
        </w:rPr>
        <w:t>non-substitutable position</w:t>
      </w:r>
      <w:r>
        <w:rPr>
          <w:rFonts w:hint="default" w:ascii="Times New Roman" w:hAnsi="Times New Roman" w:cs="Times New Roman"/>
        </w:rPr>
        <w:t xml:space="preserve"> in semiconductor manufacturing. Wafer quality directly affects chip yields, making customers unwilling to risk switching for marginal savings.</w:t>
      </w:r>
    </w:p>
    <w:p w14:paraId="7EB8E740">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Once qualified, suppliers are deeply embedded in customer production flows, resulting in </w:t>
      </w:r>
      <w:r>
        <w:rPr>
          <w:rStyle w:val="8"/>
          <w:rFonts w:hint="default" w:ascii="Times New Roman" w:hAnsi="Times New Roman" w:cs="Times New Roman"/>
        </w:rPr>
        <w:t>high retention and long contract duration</w:t>
      </w:r>
      <w:r>
        <w:rPr>
          <w:rFonts w:hint="default" w:ascii="Times New Roman" w:hAnsi="Times New Roman" w:cs="Times New Roman"/>
        </w:rPr>
        <w:t xml:space="preserve">. This dynamic creates </w:t>
      </w:r>
      <w:r>
        <w:rPr>
          <w:rStyle w:val="8"/>
          <w:rFonts w:hint="default" w:ascii="Times New Roman" w:hAnsi="Times New Roman" w:cs="Times New Roman"/>
        </w:rPr>
        <w:t>earnings durability through the cycle</w:t>
      </w:r>
      <w:r>
        <w:rPr>
          <w:rFonts w:hint="default" w:ascii="Times New Roman" w:hAnsi="Times New Roman" w:cs="Times New Roman"/>
        </w:rPr>
        <w:t xml:space="preserve"> and supports normalized margins when utilization recovers.</w:t>
      </w:r>
    </w:p>
    <w:p w14:paraId="050E1243">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2. Cyclical reset has obscured normalized earnings power</w:t>
      </w:r>
    </w:p>
    <w:p w14:paraId="5C679B3A">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Siltronic’s share price reflects </w:t>
      </w:r>
      <w:r>
        <w:rPr>
          <w:rStyle w:val="8"/>
          <w:rFonts w:hint="default" w:ascii="Times New Roman" w:hAnsi="Times New Roman" w:cs="Times New Roman"/>
        </w:rPr>
        <w:t>near-trough utilization and margin assumptions</w:t>
      </w:r>
      <w:r>
        <w:rPr>
          <w:rFonts w:hint="default" w:ascii="Times New Roman" w:hAnsi="Times New Roman" w:cs="Times New Roman"/>
        </w:rPr>
        <w:t>, despite the company having already absorbed the bulk of its capacity expansion capex.</w:t>
      </w:r>
    </w:p>
    <w:p w14:paraId="7D55B52E">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Our </w:t>
      </w:r>
      <w:r>
        <w:rPr>
          <w:rStyle w:val="8"/>
          <w:rFonts w:hint="default" w:ascii="Times New Roman" w:hAnsi="Times New Roman" w:cs="Times New Roman"/>
        </w:rPr>
        <w:t>Base case</w:t>
      </w:r>
      <w:r>
        <w:rPr>
          <w:rFonts w:hint="default" w:ascii="Times New Roman" w:hAnsi="Times New Roman" w:cs="Times New Roman"/>
        </w:rPr>
        <w:t xml:space="preserve"> assumes FY2028 revenue of </w:t>
      </w:r>
      <w:r>
        <w:rPr>
          <w:rStyle w:val="8"/>
          <w:rFonts w:hint="default" w:ascii="Times New Roman" w:hAnsi="Times New Roman" w:cs="Times New Roman"/>
        </w:rPr>
        <w:t>~€4.9bn</w:t>
      </w:r>
      <w:r>
        <w:rPr>
          <w:rFonts w:hint="default" w:ascii="Times New Roman" w:hAnsi="Times New Roman" w:cs="Times New Roman"/>
        </w:rPr>
        <w:t xml:space="preserve"> and EBITDA margins of </w:t>
      </w:r>
      <w:r>
        <w:rPr>
          <w:rStyle w:val="8"/>
          <w:rFonts w:hint="default" w:ascii="Times New Roman" w:hAnsi="Times New Roman" w:cs="Times New Roman"/>
        </w:rPr>
        <w:t>~12%</w:t>
      </w:r>
      <w:r>
        <w:rPr>
          <w:rFonts w:hint="default" w:ascii="Times New Roman" w:hAnsi="Times New Roman" w:cs="Times New Roman"/>
        </w:rPr>
        <w:t xml:space="preserve">, well below prior cycle peaks but consistent with normalized mid-cycle conditions. At an </w:t>
      </w:r>
      <w:r>
        <w:rPr>
          <w:rStyle w:val="8"/>
          <w:rFonts w:hint="default" w:ascii="Times New Roman" w:hAnsi="Times New Roman" w:cs="Times New Roman"/>
        </w:rPr>
        <w:t>11× EBITDA multiple</w:t>
      </w:r>
      <w:r>
        <w:rPr>
          <w:rFonts w:hint="default" w:ascii="Times New Roman" w:hAnsi="Times New Roman" w:cs="Times New Roman"/>
        </w:rPr>
        <w:t xml:space="preserve">, this yields a </w:t>
      </w:r>
      <w:r>
        <w:rPr>
          <w:rStyle w:val="8"/>
          <w:rFonts w:hint="default" w:ascii="Times New Roman" w:hAnsi="Times New Roman" w:cs="Times New Roman"/>
        </w:rPr>
        <w:t>~€194 price target</w:t>
      </w:r>
      <w:r>
        <w:rPr>
          <w:rFonts w:hint="default" w:ascii="Times New Roman" w:hAnsi="Times New Roman" w:cs="Times New Roman"/>
        </w:rPr>
        <w:t xml:space="preserve"> and </w:t>
      </w:r>
      <w:r>
        <w:rPr>
          <w:rStyle w:val="8"/>
          <w:rFonts w:hint="default" w:ascii="Times New Roman" w:hAnsi="Times New Roman" w:cs="Times New Roman"/>
        </w:rPr>
        <w:t>~35% IRR</w:t>
      </w:r>
      <w:r>
        <w:rPr>
          <w:rFonts w:hint="default" w:ascii="Times New Roman" w:hAnsi="Times New Roman" w:cs="Times New Roman"/>
        </w:rPr>
        <w:t>.</w:t>
      </w:r>
    </w:p>
    <w:p w14:paraId="193D21FD">
      <w:pPr>
        <w:keepNext w:val="0"/>
        <w:keepLines w:val="0"/>
        <w:widowControl/>
        <w:suppressLineNumbers w:val="0"/>
        <w:rPr>
          <w:rFonts w:hint="default" w:ascii="Times New Roman" w:hAnsi="Times New Roman" w:cs="Times New Roman"/>
        </w:rPr>
      </w:pPr>
      <w:r>
        <w:rPr>
          <w:rFonts w:hint="default" w:ascii="Times New Roman" w:hAnsi="Times New Roman" w:cs="Times New Roman"/>
          <w:b/>
          <w:bCs/>
          <w:sz w:val="28"/>
          <w:szCs w:val="28"/>
          <w:lang w:val="en-US"/>
        </w:rPr>
        <w:t>3</w:t>
      </w:r>
      <w:r>
        <w:rPr>
          <w:rFonts w:hint="default" w:ascii="Times New Roman" w:hAnsi="Times New Roman" w:cs="Times New Roman"/>
          <w:b/>
          <w:bCs/>
          <w:sz w:val="28"/>
          <w:szCs w:val="28"/>
        </w:rPr>
        <w:t>. Capex peak behind us; free cash flow inflection ahead</w:t>
      </w:r>
    </w:p>
    <w:p w14:paraId="2ABB7729">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Siltronic has completed its most intensive phase of </w:t>
      </w:r>
      <w:r>
        <w:rPr>
          <w:rStyle w:val="8"/>
          <w:rFonts w:hint="default" w:ascii="Times New Roman" w:hAnsi="Times New Roman" w:cs="Times New Roman"/>
        </w:rPr>
        <w:t>capacity expansion</w:t>
      </w:r>
      <w:r>
        <w:rPr>
          <w:rFonts w:hint="default" w:ascii="Times New Roman" w:hAnsi="Times New Roman" w:cs="Times New Roman"/>
        </w:rPr>
        <w:t xml:space="preserve">, positioning the business for </w:t>
      </w:r>
      <w:r>
        <w:rPr>
          <w:rStyle w:val="8"/>
          <w:rFonts w:hint="default" w:ascii="Times New Roman" w:hAnsi="Times New Roman" w:cs="Times New Roman"/>
        </w:rPr>
        <w:t>improving capital efficiency</w:t>
      </w:r>
      <w:r>
        <w:rPr>
          <w:rFonts w:hint="default" w:ascii="Times New Roman" w:hAnsi="Times New Roman" w:cs="Times New Roman"/>
        </w:rPr>
        <w:t xml:space="preserve"> as volumes recover. As utilization normalizes:</w:t>
      </w:r>
    </w:p>
    <w:p w14:paraId="2F058C31">
      <w:pPr>
        <w:keepNext w:val="0"/>
        <w:keepLines w:val="0"/>
        <w:widowControl/>
        <w:suppressLineNumbers w:val="0"/>
        <w:rPr>
          <w:rFonts w:hint="default" w:ascii="Times New Roman" w:hAnsi="Times New Roman" w:cs="Times New Roman"/>
          <w:b/>
          <w:bCs/>
          <w:sz w:val="28"/>
          <w:szCs w:val="28"/>
        </w:rPr>
      </w:pPr>
      <w:r>
        <w:rPr>
          <w:rFonts w:hint="default" w:ascii="Times New Roman" w:hAnsi="Times New Roman" w:cs="Times New Roman"/>
          <w:b/>
          <w:bCs/>
          <w:sz w:val="28"/>
          <w:szCs w:val="28"/>
          <w:lang w:val="en-US"/>
        </w:rPr>
        <w:t>4</w:t>
      </w:r>
      <w:r>
        <w:rPr>
          <w:rFonts w:hint="default" w:ascii="Times New Roman" w:hAnsi="Times New Roman" w:cs="Times New Roman"/>
          <w:b/>
          <w:bCs/>
          <w:sz w:val="28"/>
          <w:szCs w:val="28"/>
        </w:rPr>
        <w:t>. Industry structure and consolidation support valuation floor</w:t>
      </w:r>
    </w:p>
    <w:p w14:paraId="700777CC">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The silicon wafer market is </w:t>
      </w:r>
      <w:r>
        <w:rPr>
          <w:rStyle w:val="8"/>
          <w:rFonts w:hint="default" w:ascii="Times New Roman" w:hAnsi="Times New Roman" w:cs="Times New Roman"/>
        </w:rPr>
        <w:t>highly consolidated</w:t>
      </w:r>
      <w:r>
        <w:rPr>
          <w:rFonts w:hint="default" w:ascii="Times New Roman" w:hAnsi="Times New Roman" w:cs="Times New Roman"/>
        </w:rPr>
        <w:t xml:space="preserve">, capital-intensive, and supply disciplined. </w:t>
      </w:r>
    </w:p>
    <w:p w14:paraId="349DD967">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Comparable transactions and historical trading ranges suggest that </w:t>
      </w:r>
      <w:r>
        <w:rPr>
          <w:rStyle w:val="8"/>
          <w:rFonts w:hint="default" w:ascii="Times New Roman" w:hAnsi="Times New Roman" w:cs="Times New Roman"/>
        </w:rPr>
        <w:t>7× EBITDA represents a trough valuation</w:t>
      </w:r>
      <w:r>
        <w:rPr>
          <w:rFonts w:hint="default" w:ascii="Times New Roman" w:hAnsi="Times New Roman" w:cs="Times New Roman"/>
        </w:rPr>
        <w:t xml:space="preserve">, while normalized environments support </w:t>
      </w:r>
      <w:r>
        <w:rPr>
          <w:rStyle w:val="8"/>
          <w:rFonts w:hint="default" w:ascii="Times New Roman" w:hAnsi="Times New Roman" w:cs="Times New Roman"/>
        </w:rPr>
        <w:t>double-digit multiples</w:t>
      </w:r>
      <w:r>
        <w:rPr>
          <w:rFonts w:hint="default" w:ascii="Times New Roman" w:hAnsi="Times New Roman" w:cs="Times New Roman"/>
        </w:rPr>
        <w:t>—providing a natural valuation floor during periods of stress.</w:t>
      </w:r>
    </w:p>
    <w:p w14:paraId="69500C2B">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Siltronic offers </w:t>
      </w:r>
      <w:r>
        <w:rPr>
          <w:rStyle w:val="8"/>
          <w:rFonts w:hint="default" w:ascii="Times New Roman" w:hAnsi="Times New Roman" w:cs="Times New Roman"/>
        </w:rPr>
        <w:t>exposure to long-term semiconductor growth through a capital-disciplined, mission-critical supplier</w:t>
      </w:r>
      <w:r>
        <w:rPr>
          <w:rFonts w:hint="default" w:ascii="Times New Roman" w:hAnsi="Times New Roman" w:cs="Times New Roman"/>
        </w:rPr>
        <w:t xml:space="preserve">, currently valued near cyclical trough assumptions. With downside anchored by conservative multiples and upside driven by utilization normalization, the investment presents </w:t>
      </w:r>
      <w:r>
        <w:rPr>
          <w:rStyle w:val="8"/>
          <w:rFonts w:hint="default" w:ascii="Times New Roman" w:hAnsi="Times New Roman" w:cs="Times New Roman"/>
        </w:rPr>
        <w:t>compelling asymmetric return potential</w:t>
      </w:r>
      <w:r>
        <w:rPr>
          <w:rFonts w:hint="default" w:ascii="Times New Roman" w:hAnsi="Times New Roman" w:cs="Times New Roman"/>
        </w:rPr>
        <w:t>.</w:t>
      </w:r>
    </w:p>
    <w:p w14:paraId="031D5116">
      <w:pPr>
        <w:pStyle w:val="7"/>
        <w:keepNext w:val="0"/>
        <w:keepLines w:val="0"/>
        <w:widowControl/>
        <w:suppressLineNumbers w:val="0"/>
        <w:rPr>
          <w:rFonts w:hint="default" w:ascii="Times New Roman" w:hAnsi="Times New Roman" w:cs="Times New Roman"/>
        </w:rPr>
      </w:pPr>
    </w:p>
    <w:p w14:paraId="79B0CCFA">
      <w:pPr>
        <w:pStyle w:val="2"/>
        <w:keepNext w:val="0"/>
        <w:keepLines w:val="0"/>
        <w:widowControl/>
        <w:suppressLineNumbers w:val="0"/>
        <w:rPr>
          <w:rFonts w:hint="default" w:ascii="Times New Roman" w:hAnsi="Times New Roman" w:cs="Times New Roman"/>
        </w:rPr>
      </w:pPr>
      <w:r>
        <w:rPr>
          <w:rStyle w:val="8"/>
          <w:rFonts w:hint="default" w:ascii="Times New Roman" w:hAnsi="Times New Roman" w:cs="Times New Roman"/>
          <w:b/>
          <w:bCs/>
        </w:rPr>
        <w:t>Siltronic AG — Management Team &amp; Board Summary</w:t>
      </w:r>
    </w:p>
    <w:p w14:paraId="3677669C">
      <w:pPr>
        <w:pStyle w:val="3"/>
        <w:keepNext w:val="0"/>
        <w:keepLines w:val="0"/>
        <w:widowControl/>
        <w:suppressLineNumbers w:val="0"/>
        <w:rPr>
          <w:rFonts w:hint="default" w:ascii="Times New Roman" w:hAnsi="Times New Roman" w:cs="Times New Roman"/>
        </w:rPr>
      </w:pPr>
      <w:r>
        <w:rPr>
          <w:rStyle w:val="8"/>
          <w:rFonts w:hint="default" w:ascii="Times New Roman" w:hAnsi="Times New Roman" w:cs="Times New Roman"/>
          <w:b/>
          <w:bCs/>
        </w:rPr>
        <w:t>Executive Leadership</w:t>
      </w:r>
    </w:p>
    <w:p w14:paraId="3D0E98B5">
      <w:pPr>
        <w:pStyle w:val="7"/>
        <w:keepNext w:val="0"/>
        <w:keepLines w:val="0"/>
        <w:widowControl/>
        <w:suppressLineNumbers w:val="0"/>
        <w:rPr>
          <w:rFonts w:hint="default" w:ascii="Times New Roman" w:hAnsi="Times New Roman" w:cs="Times New Roman"/>
        </w:rPr>
      </w:pPr>
      <w:r>
        <w:rPr>
          <w:rStyle w:val="8"/>
          <w:rFonts w:hint="default" w:ascii="Times New Roman" w:hAnsi="Times New Roman" w:cs="Times New Roman"/>
        </w:rPr>
        <w:t>Dr. Michael Heckmeier — Chief Executive Officer</w:t>
      </w:r>
      <w:r>
        <w:rPr>
          <w:rFonts w:hint="default" w:ascii="Times New Roman" w:hAnsi="Times New Roman" w:cs="Times New Roman"/>
        </w:rPr>
        <w:br w:type="textWrapping"/>
      </w:r>
      <w:r>
        <w:rPr>
          <w:rFonts w:hint="default" w:ascii="Times New Roman" w:hAnsi="Times New Roman" w:cs="Times New Roman"/>
        </w:rPr>
        <w:t xml:space="preserve">Dr. Heckmeier has served as </w:t>
      </w:r>
      <w:r>
        <w:rPr>
          <w:rStyle w:val="8"/>
          <w:rFonts w:hint="default" w:ascii="Times New Roman" w:hAnsi="Times New Roman" w:cs="Times New Roman"/>
        </w:rPr>
        <w:t>CEO since May 2023</w:t>
      </w:r>
      <w:r>
        <w:rPr>
          <w:rFonts w:hint="default" w:ascii="Times New Roman" w:hAnsi="Times New Roman" w:cs="Times New Roman"/>
        </w:rPr>
        <w:t xml:space="preserve"> and recently had his contract extended through </w:t>
      </w:r>
      <w:r>
        <w:rPr>
          <w:rStyle w:val="8"/>
          <w:rFonts w:hint="default" w:ascii="Times New Roman" w:hAnsi="Times New Roman" w:cs="Times New Roman"/>
        </w:rPr>
        <w:t>May 2031</w:t>
      </w:r>
      <w:r>
        <w:rPr>
          <w:rFonts w:hint="default" w:ascii="Times New Roman" w:hAnsi="Times New Roman" w:cs="Times New Roman"/>
        </w:rPr>
        <w:t xml:space="preserve">, signaling strong board confidence. He holds a PhD in Physics and spent nearly 25 years at </w:t>
      </w:r>
      <w:r>
        <w:rPr>
          <w:rStyle w:val="8"/>
          <w:rFonts w:hint="default" w:ascii="Times New Roman" w:hAnsi="Times New Roman" w:cs="Times New Roman"/>
        </w:rPr>
        <w:t>Merck KGaA</w:t>
      </w:r>
      <w:r>
        <w:rPr>
          <w:rFonts w:hint="default" w:ascii="Times New Roman" w:hAnsi="Times New Roman" w:cs="Times New Roman"/>
        </w:rPr>
        <w:t>, where he led global businesses across materials, display solutions, and new ventures before joining Siltronic. Heckmeier is responsible for overall strategic direction, global operations, and navigating Siltronic through cyclical industry dynamics.</w:t>
      </w:r>
    </w:p>
    <w:p w14:paraId="56753460">
      <w:pPr>
        <w:pStyle w:val="7"/>
        <w:keepNext w:val="0"/>
        <w:keepLines w:val="0"/>
        <w:widowControl/>
        <w:suppressLineNumbers w:val="0"/>
        <w:rPr>
          <w:rFonts w:hint="default" w:ascii="Times New Roman" w:hAnsi="Times New Roman" w:cs="Times New Roman"/>
        </w:rPr>
      </w:pPr>
      <w:r>
        <w:rPr>
          <w:rStyle w:val="8"/>
          <w:rFonts w:hint="default" w:ascii="Times New Roman" w:hAnsi="Times New Roman" w:cs="Times New Roman"/>
        </w:rPr>
        <w:t>Claudia Schmitt — Chief Financial Officer</w:t>
      </w:r>
      <w:r>
        <w:rPr>
          <w:rFonts w:hint="default" w:ascii="Times New Roman" w:hAnsi="Times New Roman" w:cs="Times New Roman"/>
        </w:rPr>
        <w:br w:type="textWrapping"/>
      </w:r>
      <w:r>
        <w:rPr>
          <w:rFonts w:hint="default" w:ascii="Times New Roman" w:hAnsi="Times New Roman" w:cs="Times New Roman"/>
        </w:rPr>
        <w:t xml:space="preserve">Appointed CFO in </w:t>
      </w:r>
      <w:r>
        <w:rPr>
          <w:rStyle w:val="8"/>
          <w:rFonts w:hint="default" w:ascii="Times New Roman" w:hAnsi="Times New Roman" w:cs="Times New Roman"/>
        </w:rPr>
        <w:t>June 2023</w:t>
      </w:r>
      <w:r>
        <w:rPr>
          <w:rFonts w:hint="default" w:ascii="Times New Roman" w:hAnsi="Times New Roman" w:cs="Times New Roman"/>
        </w:rPr>
        <w:t xml:space="preserve">, Schmitt’s contract was also extended through </w:t>
      </w:r>
      <w:r>
        <w:rPr>
          <w:rStyle w:val="8"/>
          <w:rFonts w:hint="default" w:ascii="Times New Roman" w:hAnsi="Times New Roman" w:cs="Times New Roman"/>
        </w:rPr>
        <w:t>June 2031</w:t>
      </w:r>
      <w:r>
        <w:rPr>
          <w:rFonts w:hint="default" w:ascii="Times New Roman" w:hAnsi="Times New Roman" w:cs="Times New Roman"/>
        </w:rPr>
        <w:t xml:space="preserve">, reflecting board confidence in her stewardship of the company’s financial strategy. She joined Siltronic in 2009 and held senior finance roles prior, including Corporate VP of Controlling and Treasury. Her background includes extensive experience in controlling, planning, and financial operations from her earlier tenure at </w:t>
      </w:r>
      <w:r>
        <w:rPr>
          <w:rStyle w:val="8"/>
          <w:rFonts w:hint="default" w:ascii="Times New Roman" w:hAnsi="Times New Roman" w:cs="Times New Roman"/>
        </w:rPr>
        <w:t>Wacker Chemie AG</w:t>
      </w:r>
      <w:r>
        <w:rPr>
          <w:rFonts w:hint="default" w:ascii="Times New Roman" w:hAnsi="Times New Roman" w:cs="Times New Roman"/>
        </w:rPr>
        <w:t xml:space="preserve">. </w:t>
      </w:r>
    </w:p>
    <w:p w14:paraId="26EDBB33">
      <w:pPr>
        <w:pStyle w:val="7"/>
        <w:keepNext w:val="0"/>
        <w:keepLines w:val="0"/>
        <w:widowControl/>
        <w:suppressLineNumbers w:val="0"/>
        <w:rPr>
          <w:rFonts w:hint="default" w:ascii="Times New Roman" w:hAnsi="Times New Roman" w:cs="Times New Roman"/>
        </w:rPr>
      </w:pPr>
      <w:r>
        <w:rPr>
          <w:rStyle w:val="8"/>
          <w:rFonts w:hint="default" w:ascii="Times New Roman" w:hAnsi="Times New Roman" w:cs="Times New Roman"/>
        </w:rPr>
        <w:t>Klaus Buchwald — Chief Operating Officer</w:t>
      </w:r>
      <w:r>
        <w:rPr>
          <w:rFonts w:hint="default" w:ascii="Times New Roman" w:hAnsi="Times New Roman" w:cs="Times New Roman"/>
        </w:rPr>
        <w:br w:type="textWrapping"/>
      </w:r>
      <w:r>
        <w:rPr>
          <w:rFonts w:hint="default" w:ascii="Times New Roman" w:hAnsi="Times New Roman" w:cs="Times New Roman"/>
        </w:rPr>
        <w:t xml:space="preserve">Buchwald joined as COO in </w:t>
      </w:r>
      <w:r>
        <w:rPr>
          <w:rStyle w:val="8"/>
          <w:rFonts w:hint="default" w:ascii="Times New Roman" w:hAnsi="Times New Roman" w:cs="Times New Roman"/>
        </w:rPr>
        <w:t>June 2024</w:t>
      </w:r>
      <w:r>
        <w:rPr>
          <w:rFonts w:hint="default" w:ascii="Times New Roman" w:hAnsi="Times New Roman" w:cs="Times New Roman"/>
        </w:rPr>
        <w:t xml:space="preserve"> to strengthen operational execution, supply chain, and production efficiency. He brings </w:t>
      </w:r>
      <w:r>
        <w:rPr>
          <w:rStyle w:val="8"/>
          <w:rFonts w:hint="default" w:ascii="Times New Roman" w:hAnsi="Times New Roman" w:cs="Times New Roman"/>
        </w:rPr>
        <w:t>over two decades of semiconductor operations experience</w:t>
      </w:r>
      <w:r>
        <w:rPr>
          <w:rFonts w:hint="default" w:ascii="Times New Roman" w:hAnsi="Times New Roman" w:cs="Times New Roman"/>
        </w:rPr>
        <w:t xml:space="preserve">, including senior roles at </w:t>
      </w:r>
      <w:r>
        <w:rPr>
          <w:rStyle w:val="8"/>
          <w:rFonts w:hint="default" w:ascii="Times New Roman" w:hAnsi="Times New Roman" w:cs="Times New Roman"/>
        </w:rPr>
        <w:t>Infineon Technologies AG</w:t>
      </w:r>
      <w:r>
        <w:rPr>
          <w:rFonts w:hint="default" w:ascii="Times New Roman" w:hAnsi="Times New Roman" w:cs="Times New Roman"/>
        </w:rPr>
        <w:t xml:space="preserve"> and </w:t>
      </w:r>
      <w:r>
        <w:rPr>
          <w:rStyle w:val="8"/>
          <w:rFonts w:hint="default" w:ascii="Times New Roman" w:hAnsi="Times New Roman" w:cs="Times New Roman"/>
        </w:rPr>
        <w:t>Rohde &amp; Schwarz</w:t>
      </w:r>
      <w:r>
        <w:rPr>
          <w:rFonts w:hint="default" w:ascii="Times New Roman" w:hAnsi="Times New Roman" w:cs="Times New Roman"/>
        </w:rPr>
        <w:t xml:space="preserve">. His appointment broadens the Executive Board’s operational depth and supports capacity expansion and technology leadership initiatives. </w:t>
      </w:r>
    </w:p>
    <w:p w14:paraId="71B7B4AE">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lang w:val="en-US"/>
        </w:rPr>
        <w:drawing>
          <wp:inline distT="0" distB="0" distL="114300" distR="114300">
            <wp:extent cx="5266690" cy="3511550"/>
            <wp:effectExtent l="0" t="0" r="6350" b="8890"/>
            <wp:docPr id="10" name="Picture 10" descr="ChatGPT Image Dec 30, 2025, 06_26_1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tGPT Image Dec 30, 2025, 06_26_15 AM"/>
                    <pic:cNvPicPr>
                      <a:picLocks noChangeAspect="1"/>
                    </pic:cNvPicPr>
                  </pic:nvPicPr>
                  <pic:blipFill>
                    <a:blip r:embed="rId6"/>
                    <a:stretch>
                      <a:fillRect/>
                    </a:stretch>
                  </pic:blipFill>
                  <pic:spPr>
                    <a:xfrm>
                      <a:off x="0" y="0"/>
                      <a:ext cx="5266690" cy="3511550"/>
                    </a:xfrm>
                    <a:prstGeom prst="rect">
                      <a:avLst/>
                    </a:prstGeom>
                  </pic:spPr>
                </pic:pic>
              </a:graphicData>
            </a:graphic>
          </wp:inline>
        </w:drawing>
      </w:r>
    </w:p>
    <w:p w14:paraId="72D21FF8">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lang w:val="en-US"/>
        </w:rPr>
        <w:drawing>
          <wp:inline distT="0" distB="0" distL="114300" distR="114300">
            <wp:extent cx="5266690" cy="3511550"/>
            <wp:effectExtent l="0" t="0" r="6350" b="8890"/>
            <wp:docPr id="7" name="Picture 7" descr="ChatGPT Image Dec 30, 2025, 06_49_29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tGPT Image Dec 30, 2025, 06_49_29 AM"/>
                    <pic:cNvPicPr>
                      <a:picLocks noChangeAspect="1"/>
                    </pic:cNvPicPr>
                  </pic:nvPicPr>
                  <pic:blipFill>
                    <a:blip r:embed="rId7"/>
                    <a:stretch>
                      <a:fillRect/>
                    </a:stretch>
                  </pic:blipFill>
                  <pic:spPr>
                    <a:xfrm>
                      <a:off x="0" y="0"/>
                      <a:ext cx="5266690" cy="3511550"/>
                    </a:xfrm>
                    <a:prstGeom prst="rect">
                      <a:avLst/>
                    </a:prstGeom>
                  </pic:spPr>
                </pic:pic>
              </a:graphicData>
            </a:graphic>
          </wp:inline>
        </w:drawing>
      </w:r>
    </w:p>
    <w:p w14:paraId="6B150A4E">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In the </w:t>
      </w:r>
      <w:bookmarkStart w:id="0" w:name="_GoBack"/>
      <w:bookmarkEnd w:id="0"/>
      <w:r>
        <w:rPr>
          <w:rStyle w:val="8"/>
          <w:rFonts w:hint="default" w:ascii="Times New Roman" w:hAnsi="Times New Roman" w:cs="Times New Roman"/>
        </w:rPr>
        <w:t>base case</w:t>
      </w:r>
      <w:r>
        <w:rPr>
          <w:rFonts w:hint="default" w:ascii="Times New Roman" w:hAnsi="Times New Roman" w:cs="Times New Roman"/>
        </w:rPr>
        <w:t xml:space="preserve">, Siltronic is valued on the assumption of a normalized wafer cycle recovery, with revenue reaching ~€4.9bn by FY2028, implying a ~4% three-year CAGR. Adjusted EBITDA margins stabilize around the low-to-mid-teens as utilization improves and pricing normalizes, supported by disciplined industry capacity additions. Applying an </w:t>
      </w:r>
      <w:r>
        <w:rPr>
          <w:rStyle w:val="8"/>
          <w:rFonts w:hint="default" w:ascii="Times New Roman" w:hAnsi="Times New Roman" w:cs="Times New Roman"/>
        </w:rPr>
        <w:t>11.0x EBITDA multiple</w:t>
      </w:r>
      <w:r>
        <w:rPr>
          <w:rFonts w:hint="default" w:ascii="Times New Roman" w:hAnsi="Times New Roman" w:cs="Times New Roman"/>
        </w:rPr>
        <w:t xml:space="preserve">, in line with historical mid-cycle trading levels for high-quality wafer peers, yields an equity value of approximately </w:t>
      </w:r>
      <w:r>
        <w:rPr>
          <w:rStyle w:val="8"/>
          <w:rFonts w:hint="default" w:ascii="Times New Roman" w:hAnsi="Times New Roman" w:cs="Times New Roman"/>
        </w:rPr>
        <w:t>€17.1bn</w:t>
      </w:r>
      <w:r>
        <w:rPr>
          <w:rFonts w:hint="default" w:ascii="Times New Roman" w:hAnsi="Times New Roman" w:cs="Times New Roman"/>
        </w:rPr>
        <w:t xml:space="preserve"> and a </w:t>
      </w:r>
      <w:r>
        <w:rPr>
          <w:rStyle w:val="8"/>
          <w:rFonts w:hint="default" w:ascii="Times New Roman" w:hAnsi="Times New Roman" w:cs="Times New Roman"/>
        </w:rPr>
        <w:t>price target of ~€569 per share</w:t>
      </w:r>
      <w:r>
        <w:rPr>
          <w:rFonts w:hint="default" w:ascii="Times New Roman" w:hAnsi="Times New Roman" w:cs="Times New Roman"/>
        </w:rPr>
        <w:t>, implying a strong upside from current levels and an attractive mid-30%+ IRR over three years.</w:t>
      </w:r>
    </w:p>
    <w:p w14:paraId="43AB38C3">
      <w:pPr>
        <w:keepNext w:val="0"/>
        <w:keepLines w:val="0"/>
        <w:widowControl/>
        <w:suppressLineNumbers w:val="0"/>
        <w:rPr>
          <w:rFonts w:hint="default" w:ascii="Times New Roman" w:hAnsi="Times New Roman" w:cs="Times New Roman"/>
        </w:rPr>
      </w:pPr>
      <w:r>
        <w:rPr>
          <w:rStyle w:val="8"/>
          <w:rFonts w:hint="default" w:ascii="Times New Roman" w:hAnsi="Times New Roman" w:cs="Times New Roman"/>
        </w:rPr>
        <w:t>Bull Case Valuation</w:t>
      </w:r>
    </w:p>
    <w:p w14:paraId="4B97D0BA">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The </w:t>
      </w:r>
      <w:r>
        <w:rPr>
          <w:rStyle w:val="8"/>
          <w:rFonts w:hint="default" w:ascii="Times New Roman" w:hAnsi="Times New Roman" w:cs="Times New Roman"/>
        </w:rPr>
        <w:t>bull case</w:t>
      </w:r>
      <w:r>
        <w:rPr>
          <w:rFonts w:hint="default" w:ascii="Times New Roman" w:hAnsi="Times New Roman" w:cs="Times New Roman"/>
        </w:rPr>
        <w:t xml:space="preserve"> reflects a structurally tighter wafer supply environment, stronger-than-expected demand for advanced logic and memory, and sustained pricing power driven by 300mm wafer mix and long-term contracts. Revenue grows at a ~6.5% CAGR to ~€5.3bn by FY2028, while adjusted EBITDA margins expand materially on higher utilization and operating leverage. Using a </w:t>
      </w:r>
      <w:r>
        <w:rPr>
          <w:rStyle w:val="8"/>
          <w:rFonts w:hint="default" w:ascii="Times New Roman" w:hAnsi="Times New Roman" w:cs="Times New Roman"/>
        </w:rPr>
        <w:t>12.5x EBITDA multiple</w:t>
      </w:r>
      <w:r>
        <w:rPr>
          <w:rFonts w:hint="default" w:ascii="Times New Roman" w:hAnsi="Times New Roman" w:cs="Times New Roman"/>
        </w:rPr>
        <w:t>, consistent with peak-cycle valuations and high-quality semiconductor infrastructure assets, equity value increases to ~</w:t>
      </w:r>
      <w:r>
        <w:rPr>
          <w:rStyle w:val="8"/>
          <w:rFonts w:hint="default" w:ascii="Times New Roman" w:hAnsi="Times New Roman" w:cs="Times New Roman"/>
        </w:rPr>
        <w:t>€36.5bn</w:t>
      </w:r>
      <w:r>
        <w:rPr>
          <w:rFonts w:hint="default" w:ascii="Times New Roman" w:hAnsi="Times New Roman" w:cs="Times New Roman"/>
        </w:rPr>
        <w:t xml:space="preserve">, corresponding to a </w:t>
      </w:r>
      <w:r>
        <w:rPr>
          <w:rStyle w:val="8"/>
          <w:rFonts w:hint="default" w:ascii="Times New Roman" w:hAnsi="Times New Roman" w:cs="Times New Roman"/>
        </w:rPr>
        <w:t>price target of ~€1,167 per share</w:t>
      </w:r>
      <w:r>
        <w:rPr>
          <w:rFonts w:hint="default" w:ascii="Times New Roman" w:hAnsi="Times New Roman" w:cs="Times New Roman"/>
        </w:rPr>
        <w:t xml:space="preserve"> and a triple-digit IRR, representing significant asymmetric upside in a favorable industry cycle.</w:t>
      </w:r>
    </w:p>
    <w:p w14:paraId="68BD7172">
      <w:pPr>
        <w:keepNext w:val="0"/>
        <w:keepLines w:val="0"/>
        <w:widowControl/>
        <w:suppressLineNumbers w:val="0"/>
        <w:rPr>
          <w:rStyle w:val="8"/>
          <w:rFonts w:hint="default" w:ascii="Times New Roman" w:hAnsi="Times New Roman" w:cs="Times New Roman"/>
        </w:rPr>
      </w:pPr>
    </w:p>
    <w:p w14:paraId="403B3775">
      <w:pPr>
        <w:keepNext w:val="0"/>
        <w:keepLines w:val="0"/>
        <w:widowControl/>
        <w:suppressLineNumbers w:val="0"/>
        <w:rPr>
          <w:rFonts w:hint="default" w:ascii="Times New Roman" w:hAnsi="Times New Roman" w:cs="Times New Roman"/>
        </w:rPr>
      </w:pPr>
      <w:r>
        <w:rPr>
          <w:rStyle w:val="8"/>
          <w:rFonts w:hint="default" w:ascii="Times New Roman" w:hAnsi="Times New Roman" w:cs="Times New Roman"/>
        </w:rPr>
        <w:t>Bear Case Valuation</w:t>
      </w:r>
    </w:p>
    <w:p w14:paraId="46660597">
      <w:pPr>
        <w:pStyle w:val="7"/>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The </w:t>
      </w:r>
      <w:r>
        <w:rPr>
          <w:rStyle w:val="8"/>
          <w:rFonts w:hint="default" w:ascii="Times New Roman" w:hAnsi="Times New Roman" w:cs="Times New Roman"/>
        </w:rPr>
        <w:t>bear case</w:t>
      </w:r>
      <w:r>
        <w:rPr>
          <w:rFonts w:hint="default" w:ascii="Times New Roman" w:hAnsi="Times New Roman" w:cs="Times New Roman"/>
        </w:rPr>
        <w:t xml:space="preserve"> assumes prolonged semiconductor cyclicality, weaker pricing, and delayed utilization recovery, resulting in flat to slightly declining revenue (~-1.5% CAGR) and compressed margins. Despite these pressures, Siltronic’s strong balance sheet and strategic asset base support continued positive free cash generation. Applying a conservative </w:t>
      </w:r>
      <w:r>
        <w:rPr>
          <w:rStyle w:val="8"/>
          <w:rFonts w:hint="default" w:ascii="Times New Roman" w:hAnsi="Times New Roman" w:cs="Times New Roman"/>
        </w:rPr>
        <w:t>6.0x EBITDA multiple</w:t>
      </w:r>
      <w:r>
        <w:rPr>
          <w:rFonts w:hint="default" w:ascii="Times New Roman" w:hAnsi="Times New Roman" w:cs="Times New Roman"/>
        </w:rPr>
        <w:t xml:space="preserve">, reflecting trough-cycle sentiment and reduced visibility, results in an equity value of approximately </w:t>
      </w:r>
      <w:r>
        <w:rPr>
          <w:rStyle w:val="8"/>
          <w:rFonts w:hint="default" w:ascii="Times New Roman" w:hAnsi="Times New Roman" w:cs="Times New Roman"/>
        </w:rPr>
        <w:t>€8.1bn</w:t>
      </w:r>
      <w:r>
        <w:rPr>
          <w:rFonts w:hint="default" w:ascii="Times New Roman" w:hAnsi="Times New Roman" w:cs="Times New Roman"/>
        </w:rPr>
        <w:t xml:space="preserve"> and a </w:t>
      </w:r>
      <w:r>
        <w:rPr>
          <w:rStyle w:val="8"/>
          <w:rFonts w:hint="default" w:ascii="Times New Roman" w:hAnsi="Times New Roman" w:cs="Times New Roman"/>
        </w:rPr>
        <w:t>price target of ~€282 per share</w:t>
      </w:r>
      <w:r>
        <w:rPr>
          <w:rFonts w:hint="default" w:ascii="Times New Roman" w:hAnsi="Times New Roman" w:cs="Times New Roman"/>
        </w:rPr>
        <w:t>. While upside is more limited, the downside remains partially protected by net cash, long-term customer contracts, and replacement-cost support.</w:t>
      </w:r>
    </w:p>
    <w:p w14:paraId="0C746265">
      <w:pPr>
        <w:pStyle w:val="7"/>
        <w:keepNext w:val="0"/>
        <w:keepLines w:val="0"/>
        <w:widowControl/>
        <w:suppressLineNumbers w:val="0"/>
        <w:rPr>
          <w:rFonts w:hint="default" w:ascii="Times New Roman" w:hAnsi="Times New Roman" w:cs="Times New Roman"/>
          <w:b/>
          <w:bCs/>
          <w:lang w:val="en-US"/>
        </w:rPr>
      </w:pPr>
      <w:r>
        <w:rPr>
          <w:rFonts w:hint="default" w:cs="Times New Roman"/>
          <w:b/>
          <w:bCs/>
          <w:lang w:val="en-US"/>
        </w:rPr>
        <w:t>Risks:</w:t>
      </w:r>
    </w:p>
    <w:p w14:paraId="48F401FB">
      <w:pPr>
        <w:pStyle w:val="3"/>
        <w:keepNext w:val="0"/>
        <w:keepLines w:val="0"/>
        <w:widowControl/>
        <w:suppressLineNumbers w:val="0"/>
        <w:rPr>
          <w:rFonts w:hint="default" w:ascii="Times New Roman" w:hAnsi="Times New Roman" w:cs="Times New Roman"/>
          <w:b w:val="0"/>
          <w:bCs w:val="0"/>
        </w:rPr>
      </w:pPr>
      <w:r>
        <w:rPr>
          <w:rStyle w:val="8"/>
          <w:rFonts w:hint="default" w:ascii="Times New Roman" w:hAnsi="Times New Roman" w:cs="Times New Roman"/>
          <w:b w:val="0"/>
          <w:bCs w:val="0"/>
        </w:rPr>
        <w:t>1.</w:t>
      </w:r>
      <w:r>
        <w:rPr>
          <w:rFonts w:hint="default" w:ascii="Times New Roman" w:hAnsi="Times New Roman" w:cs="Times New Roman"/>
          <w:b w:val="0"/>
          <w:bCs w:val="0"/>
        </w:rPr>
        <w:t>Siltronic operates in a highly cyclical semiconductor industry, where wafer demand is driven by memory and logic spending cycles. Downturns in end-markets can quickly pressure utilization rates, pricing, and margins.</w:t>
      </w:r>
    </w:p>
    <w:p w14:paraId="1DC5EF89">
      <w:pPr>
        <w:keepNext w:val="0"/>
        <w:keepLines w:val="0"/>
        <w:widowControl/>
        <w:suppressLineNumbers w:val="0"/>
      </w:pPr>
    </w:p>
    <w:p w14:paraId="52994CEC">
      <w:pPr>
        <w:keepNext w:val="0"/>
        <w:keepLines w:val="0"/>
        <w:widowControl/>
        <w:numPr>
          <w:ilvl w:val="0"/>
          <w:numId w:val="1"/>
        </w:numPr>
        <w:suppressLineNumbers w:val="0"/>
        <w:rPr>
          <w:sz w:val="24"/>
          <w:szCs w:val="24"/>
        </w:rPr>
      </w:pPr>
      <w:r>
        <w:rPr>
          <w:sz w:val="24"/>
          <w:szCs w:val="24"/>
        </w:rPr>
        <w:t>The business requires sustained, large-scale capex to expand and maintain 300 mm wafer capacity, often years ahead of demand realization. Mis-timed investments or delays in ramp-up can materially depress free cash flow and returns.</w:t>
      </w:r>
    </w:p>
    <w:p w14:paraId="184AD65D">
      <w:pPr>
        <w:keepNext w:val="0"/>
        <w:keepLines w:val="0"/>
        <w:widowControl/>
        <w:suppressLineNumbers w:val="0"/>
        <w:rPr>
          <w:rFonts w:hint="default" w:ascii="Times New Roman" w:hAnsi="Times New Roman" w:cs="Times New Roman"/>
          <w:sz w:val="24"/>
          <w:szCs w:val="24"/>
        </w:rPr>
      </w:pPr>
    </w:p>
    <w:p w14:paraId="38334EC7">
      <w:pPr>
        <w:keepNext w:val="0"/>
        <w:keepLines w:val="0"/>
        <w:widowControl/>
        <w:suppressLineNumbers w:val="0"/>
        <w:rPr>
          <w:rFonts w:hint="default" w:ascii="Times New Roman" w:hAnsi="Times New Roman" w:cs="Times New Roman"/>
          <w:sz w:val="24"/>
          <w:szCs w:val="24"/>
        </w:rPr>
      </w:pPr>
    </w:p>
    <w:p w14:paraId="0D3F6569">
      <w:pPr>
        <w:keepNext w:val="0"/>
        <w:keepLines w:val="0"/>
        <w:widowControl/>
        <w:numPr>
          <w:ilvl w:val="0"/>
          <w:numId w:val="1"/>
        </w:numPr>
        <w:suppressLineNumbers w:val="0"/>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Siltronic relies on a small number of large foundry and IDM customers with strong bargaining power. Long-term contracts may limit near-term upside during upcycles while still exposing the company to pricing renegotiation risk in weaker markets.</w:t>
      </w:r>
    </w:p>
    <w:p w14:paraId="7D7F7346">
      <w:pPr>
        <w:pStyle w:val="7"/>
        <w:keepNext w:val="0"/>
        <w:keepLines w:val="0"/>
        <w:widowControl/>
        <w:suppressLineNumbers w:val="0"/>
        <w:rPr>
          <w:rFonts w:hint="default" w:ascii="Times New Roman" w:hAnsi="Times New Roman" w:cs="Times New Roman"/>
        </w:rPr>
      </w:pPr>
    </w:p>
    <w:p w14:paraId="7429275F">
      <w:pPr>
        <w:pStyle w:val="7"/>
        <w:keepNext w:val="0"/>
        <w:keepLines w:val="0"/>
        <w:widowControl/>
        <w:suppressLineNumbers w:val="0"/>
        <w:rPr>
          <w:rFonts w:hint="default" w:ascii="Times New Roman" w:hAnsi="Times New Roman" w:cs="Times New Roman"/>
        </w:rPr>
      </w:pPr>
    </w:p>
    <w:p w14:paraId="3C05DE43">
      <w:pPr>
        <w:rPr>
          <w:rFonts w:hint="default" w:ascii="Times New Roman" w:hAnsi="Times New Roman" w:cs="Times New Roman"/>
          <w:lang w:val="en-US"/>
        </w:rPr>
      </w:pPr>
    </w:p>
    <w:p w14:paraId="321FA89E">
      <w:pPr>
        <w:rPr>
          <w:rFonts w:hint="default" w:ascii="Times New Roman" w:hAnsi="Times New Roman" w:cs="Times New Roman"/>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Light">
    <w:panose1 w:val="020B0502040204020203"/>
    <w:charset w:val="00"/>
    <w:family w:val="auto"/>
    <w:pitch w:val="default"/>
    <w:sig w:usb0="E4002EFF" w:usb1="C000E47F" w:usb2="00000009" w:usb3="00000000" w:csb0="200001FF" w:csb1="00000000"/>
  </w:font>
  <w:font w:name="Segoe UI Symbol">
    <w:panose1 w:val="020B0502040204020203"/>
    <w:charset w:val="00"/>
    <w:family w:val="auto"/>
    <w:pitch w:val="default"/>
    <w:sig w:usb0="800001E3" w:usb1="1200FFEF" w:usb2="00040000" w:usb3="04000000" w:csb0="00000001" w:csb1="40000000"/>
  </w:font>
  <w:font w:name="Sitka Text">
    <w:panose1 w:val="02000505000000020004"/>
    <w:charset w:val="00"/>
    <w:family w:val="auto"/>
    <w:pitch w:val="default"/>
    <w:sig w:usb0="A00002EF" w:usb1="4000204B" w:usb2="00000000" w:usb3="00000000" w:csb0="2000019F" w:csb1="00000000"/>
  </w:font>
  <w:font w:name="Sitka Subheading">
    <w:panose1 w:val="02000505000000020004"/>
    <w:charset w:val="00"/>
    <w:family w:val="auto"/>
    <w:pitch w:val="default"/>
    <w:sig w:usb0="A00002EF" w:usb1="4000204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684DE5"/>
    <w:multiLevelType w:val="singleLevel"/>
    <w:tmpl w:val="AA684DE5"/>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5F2FCA"/>
    <w:rsid w:val="2B2E0D35"/>
    <w:rsid w:val="57EE28CF"/>
    <w:rsid w:val="5C5F2FCA"/>
    <w:rsid w:val="6A6F5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101</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2025-12-29T02:57:00Z</dcterms:created>
  <dc:creator>Fariel Shafee</dc:creator>
  <cp:lastModifiedBy>Fariel Shafee</cp:lastModifiedBy>
  <dcterms:modified xsi:type="dcterms:W3CDTF">2025-12-30T02:02:45Z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A4B4C29081F147DE85189103068272A5_13</vt:lpwstr>
  </property>
</Properties>
</file>