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A42C0" w14:textId="77777777" w:rsidR="00076F50" w:rsidRDefault="004666FC">
      <w:pPr>
        <w:spacing w:after="20"/>
        <w:jc w:val="center"/>
      </w:pPr>
      <w:r>
        <w:rPr>
          <w:b/>
          <w:bCs/>
          <w:color w:val="1F3864"/>
          <w:sz w:val="30"/>
          <w:szCs w:val="30"/>
        </w:rPr>
        <w:t>ATTRONICA AV DIVISION</w:t>
      </w:r>
    </w:p>
    <w:p w14:paraId="317FA6ED" w14:textId="77777777" w:rsidR="00076F50" w:rsidRDefault="004666FC">
      <w:pPr>
        <w:spacing w:after="200"/>
        <w:jc w:val="center"/>
      </w:pPr>
      <w:r>
        <w:rPr>
          <w:color w:val="444444"/>
          <w:sz w:val="22"/>
          <w:szCs w:val="22"/>
        </w:rPr>
        <w:t>Strategic Recommendation Document</w:t>
      </w:r>
    </w:p>
    <w:p w14:paraId="0933B083" w14:textId="77777777" w:rsidR="00076F50" w:rsidRDefault="004666FC">
      <w:pPr>
        <w:spacing w:after="260"/>
        <w:jc w:val="center"/>
      </w:pPr>
      <w:r>
        <w:rPr>
          <w:i/>
          <w:iCs/>
          <w:color w:val="666666"/>
          <w:sz w:val="16"/>
          <w:szCs w:val="16"/>
        </w:rPr>
        <w:t xml:space="preserve">Prepared for </w:t>
      </w:r>
      <w:proofErr w:type="gramStart"/>
      <w:r>
        <w:rPr>
          <w:i/>
          <w:iCs/>
          <w:color w:val="666666"/>
          <w:sz w:val="16"/>
          <w:szCs w:val="16"/>
        </w:rPr>
        <w:t>Niel  |</w:t>
      </w:r>
      <w:proofErr w:type="gramEnd"/>
      <w:r>
        <w:rPr>
          <w:i/>
          <w:iCs/>
          <w:color w:val="666666"/>
          <w:sz w:val="16"/>
          <w:szCs w:val="16"/>
        </w:rPr>
        <w:t xml:space="preserve">  FP&amp;</w:t>
      </w:r>
      <w:proofErr w:type="gramStart"/>
      <w:r>
        <w:rPr>
          <w:i/>
          <w:iCs/>
          <w:color w:val="666666"/>
          <w:sz w:val="16"/>
          <w:szCs w:val="16"/>
        </w:rPr>
        <w:t>A  |</w:t>
      </w:r>
      <w:proofErr w:type="gramEnd"/>
      <w:r>
        <w:rPr>
          <w:i/>
          <w:iCs/>
          <w:color w:val="666666"/>
          <w:sz w:val="16"/>
          <w:szCs w:val="16"/>
        </w:rPr>
        <w:t xml:space="preserve">  August 17, 2026</w:t>
      </w:r>
    </w:p>
    <w:p w14:paraId="1F073FF9" w14:textId="77777777" w:rsidR="00076F50" w:rsidRDefault="004666FC">
      <w:pPr>
        <w:spacing w:after="160"/>
      </w:pPr>
      <w:r>
        <w:rPr>
          <w:b/>
          <w:bCs/>
          <w:sz w:val="20"/>
          <w:szCs w:val="20"/>
        </w:rPr>
        <w:t xml:space="preserve">AV integration is the highest-margin, fastest-growing part of </w:t>
      </w:r>
      <w:proofErr w:type="spellStart"/>
      <w:r>
        <w:rPr>
          <w:b/>
          <w:bCs/>
          <w:sz w:val="20"/>
          <w:szCs w:val="20"/>
        </w:rPr>
        <w:t>Attronica's</w:t>
      </w:r>
      <w:proofErr w:type="spellEnd"/>
      <w:r>
        <w:rPr>
          <w:b/>
          <w:bCs/>
          <w:sz w:val="20"/>
          <w:szCs w:val="20"/>
        </w:rPr>
        <w:t xml:space="preserve"> business, and it is large enough now to fund its own next stage of growth. FY2025 cash available for reinvestment (~$644K) already covers the ~$288K-$340K a Base-case (9%) growth plan requires. No new debt, no outside equity, and no ownership transaction is needed to take the next step.</w:t>
      </w:r>
    </w:p>
    <w:p w14:paraId="742DF7A4" w14:textId="77777777" w:rsidR="00076F50" w:rsidRDefault="004666FC">
      <w:pPr>
        <w:spacing w:before="160" w:after="80"/>
      </w:pPr>
      <w:r>
        <w:rPr>
          <w:b/>
          <w:bCs/>
          <w:color w:val="1F3864"/>
          <w:sz w:val="21"/>
          <w:szCs w:val="21"/>
        </w:rPr>
        <w:t>This document answers three questions</w:t>
      </w:r>
    </w:p>
    <w:p w14:paraId="228233A9" w14:textId="77777777" w:rsidR="00076F50" w:rsidRDefault="004666FC">
      <w:pPr>
        <w:pStyle w:val="ListParagraph"/>
        <w:numPr>
          <w:ilvl w:val="0"/>
          <w:numId w:val="1"/>
        </w:numPr>
        <w:spacing w:after="40"/>
      </w:pPr>
      <w:r>
        <w:t xml:space="preserve">What is </w:t>
      </w:r>
      <w:proofErr w:type="gramStart"/>
      <w:r>
        <w:t>actually happening</w:t>
      </w:r>
      <w:proofErr w:type="gramEnd"/>
      <w:r>
        <w:t xml:space="preserve"> to </w:t>
      </w:r>
      <w:proofErr w:type="spellStart"/>
      <w:r>
        <w:t>Attronica's</w:t>
      </w:r>
      <w:proofErr w:type="spellEnd"/>
      <w:r>
        <w:t xml:space="preserve"> core distribution business, and why.</w:t>
      </w:r>
    </w:p>
    <w:p w14:paraId="78048F37" w14:textId="77777777" w:rsidR="00076F50" w:rsidRDefault="004666FC">
      <w:pPr>
        <w:pStyle w:val="ListParagraph"/>
        <w:numPr>
          <w:ilvl w:val="0"/>
          <w:numId w:val="1"/>
        </w:numPr>
        <w:spacing w:after="40"/>
      </w:pPr>
      <w:r>
        <w:t xml:space="preserve">Of the six paths on the table — invest, acquire, recapitalize, sell a PE stake, ESOP, or hold status quo — which one the numbers </w:t>
      </w:r>
      <w:proofErr w:type="gramStart"/>
      <w:r>
        <w:t>actually support</w:t>
      </w:r>
      <w:proofErr w:type="gramEnd"/>
      <w:r>
        <w:t>.</w:t>
      </w:r>
    </w:p>
    <w:p w14:paraId="61F7335B" w14:textId="77777777" w:rsidR="00076F50" w:rsidRDefault="004666FC">
      <w:pPr>
        <w:pStyle w:val="ListParagraph"/>
        <w:numPr>
          <w:ilvl w:val="0"/>
          <w:numId w:val="1"/>
        </w:numPr>
        <w:spacing w:after="40"/>
      </w:pPr>
      <w:r>
        <w:t>What Niel needs to watch regardless of which path he picks.</w:t>
      </w:r>
    </w:p>
    <w:p w14:paraId="637A05FE" w14:textId="77777777" w:rsidR="00076F50" w:rsidRDefault="004666FC">
      <w:pPr>
        <w:spacing w:before="160" w:after="80"/>
      </w:pPr>
      <w:r>
        <w:rPr>
          <w:b/>
          <w:bCs/>
          <w:color w:val="1F3864"/>
          <w:sz w:val="21"/>
          <w:szCs w:val="21"/>
        </w:rPr>
        <w:t>Snapshot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99"/>
        <w:gridCol w:w="2117"/>
        <w:gridCol w:w="2117"/>
        <w:gridCol w:w="2117"/>
      </w:tblGrid>
      <w:tr w:rsidR="00076F50" w14:paraId="07B1CA65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000" w:type="dxa"/>
            <w:shd w:val="clear" w:color="auto" w:fill="1F3864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44DC9B" w14:textId="77777777" w:rsidR="00076F50" w:rsidRDefault="004666FC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 xml:space="preserve">Consolidated </w:t>
            </w:r>
            <w:proofErr w:type="spellStart"/>
            <w:r>
              <w:rPr>
                <w:b/>
                <w:bCs/>
                <w:color w:val="FFFFFF"/>
                <w:sz w:val="16"/>
                <w:szCs w:val="16"/>
              </w:rPr>
              <w:t>Attronica</w:t>
            </w:r>
            <w:proofErr w:type="spellEnd"/>
          </w:p>
        </w:tc>
        <w:tc>
          <w:tcPr>
            <w:tcW w:w="2117" w:type="dxa"/>
            <w:shd w:val="clear" w:color="auto" w:fill="1F3864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BCFFF65" w14:textId="77777777" w:rsidR="00076F50" w:rsidRDefault="004666FC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FY2022</w:t>
            </w:r>
          </w:p>
        </w:tc>
        <w:tc>
          <w:tcPr>
            <w:tcW w:w="2117" w:type="dxa"/>
            <w:shd w:val="clear" w:color="auto" w:fill="1F3864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585C4C4" w14:textId="77777777" w:rsidR="00076F50" w:rsidRDefault="004666FC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FY2025</w:t>
            </w:r>
          </w:p>
        </w:tc>
        <w:tc>
          <w:tcPr>
            <w:tcW w:w="2117" w:type="dxa"/>
            <w:shd w:val="clear" w:color="auto" w:fill="1F3864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DA95CE" w14:textId="77777777" w:rsidR="00076F50" w:rsidRDefault="004666FC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CAGR / Trend</w:t>
            </w:r>
          </w:p>
        </w:tc>
      </w:tr>
      <w:tr w:rsidR="00076F50" w14:paraId="47F63540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AE2DE7" w14:textId="77777777" w:rsidR="00076F50" w:rsidRDefault="004666FC">
            <w:r>
              <w:rPr>
                <w:color w:val="000000"/>
                <w:sz w:val="16"/>
                <w:szCs w:val="16"/>
              </w:rPr>
              <w:t>Revenue</w:t>
            </w:r>
          </w:p>
        </w:tc>
        <w:tc>
          <w:tcPr>
            <w:tcW w:w="211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23CD03" w14:textId="77777777" w:rsidR="00076F50" w:rsidRDefault="004666FC">
            <w:pPr>
              <w:jc w:val="center"/>
            </w:pPr>
            <w:r>
              <w:rPr>
                <w:color w:val="000000"/>
                <w:sz w:val="16"/>
                <w:szCs w:val="16"/>
              </w:rPr>
              <w:t>$83.5M</w:t>
            </w:r>
          </w:p>
        </w:tc>
        <w:tc>
          <w:tcPr>
            <w:tcW w:w="211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7CBA9D" w14:textId="77777777" w:rsidR="00076F50" w:rsidRDefault="004666FC">
            <w:pPr>
              <w:jc w:val="center"/>
            </w:pPr>
            <w:r>
              <w:rPr>
                <w:color w:val="000000"/>
                <w:sz w:val="16"/>
                <w:szCs w:val="16"/>
              </w:rPr>
              <w:t>$63.2M</w:t>
            </w:r>
          </w:p>
        </w:tc>
        <w:tc>
          <w:tcPr>
            <w:tcW w:w="211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1000A8" w14:textId="77777777" w:rsidR="00076F50" w:rsidRDefault="004666FC">
            <w:pPr>
              <w:jc w:val="center"/>
            </w:pPr>
            <w:r>
              <w:rPr>
                <w:color w:val="000000"/>
                <w:sz w:val="16"/>
                <w:szCs w:val="16"/>
              </w:rPr>
              <w:t>-8.9%</w:t>
            </w:r>
          </w:p>
        </w:tc>
      </w:tr>
      <w:tr w:rsidR="00076F50" w14:paraId="10438B48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B65BAC8" w14:textId="77777777" w:rsidR="00076F50" w:rsidRDefault="004666FC">
            <w:r>
              <w:rPr>
                <w:color w:val="000000"/>
                <w:sz w:val="16"/>
                <w:szCs w:val="16"/>
              </w:rPr>
              <w:t>Gross margin</w:t>
            </w:r>
          </w:p>
        </w:tc>
        <w:tc>
          <w:tcPr>
            <w:tcW w:w="2117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BB5F07" w14:textId="77777777" w:rsidR="00076F50" w:rsidRDefault="004666FC">
            <w:pPr>
              <w:jc w:val="center"/>
            </w:pPr>
            <w:r>
              <w:rPr>
                <w:color w:val="000000"/>
                <w:sz w:val="16"/>
                <w:szCs w:val="16"/>
              </w:rPr>
              <w:t>13.5%</w:t>
            </w:r>
          </w:p>
        </w:tc>
        <w:tc>
          <w:tcPr>
            <w:tcW w:w="2117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39573F" w14:textId="77777777" w:rsidR="00076F50" w:rsidRDefault="004666FC">
            <w:pPr>
              <w:jc w:val="center"/>
            </w:pPr>
            <w:r>
              <w:rPr>
                <w:color w:val="000000"/>
                <w:sz w:val="16"/>
                <w:szCs w:val="16"/>
              </w:rPr>
              <w:t>14.2%</w:t>
            </w:r>
          </w:p>
        </w:tc>
        <w:tc>
          <w:tcPr>
            <w:tcW w:w="2117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DD50593" w14:textId="77777777" w:rsidR="00076F50" w:rsidRDefault="004666FC">
            <w:pPr>
              <w:jc w:val="center"/>
            </w:pPr>
            <w:r>
              <w:rPr>
                <w:color w:val="000000"/>
                <w:sz w:val="16"/>
                <w:szCs w:val="16"/>
              </w:rPr>
              <w:t>13.5-15.4% band, held</w:t>
            </w:r>
          </w:p>
        </w:tc>
      </w:tr>
      <w:tr w:rsidR="00076F50" w14:paraId="7759990D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430973" w14:textId="77777777" w:rsidR="00076F50" w:rsidRDefault="004666FC">
            <w:r>
              <w:rPr>
                <w:color w:val="000000"/>
                <w:sz w:val="16"/>
                <w:szCs w:val="16"/>
              </w:rPr>
              <w:t>Operating margin</w:t>
            </w:r>
          </w:p>
        </w:tc>
        <w:tc>
          <w:tcPr>
            <w:tcW w:w="211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8CE2E69" w14:textId="77777777" w:rsidR="00076F50" w:rsidRDefault="004666FC">
            <w:pPr>
              <w:jc w:val="center"/>
            </w:pPr>
            <w:r>
              <w:rPr>
                <w:color w:val="000000"/>
                <w:sz w:val="16"/>
                <w:szCs w:val="16"/>
              </w:rPr>
              <w:t>3.6%</w:t>
            </w:r>
          </w:p>
        </w:tc>
        <w:tc>
          <w:tcPr>
            <w:tcW w:w="211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D73D60" w14:textId="77777777" w:rsidR="00076F50" w:rsidRDefault="004666FC">
            <w:pPr>
              <w:jc w:val="center"/>
            </w:pPr>
            <w:r>
              <w:rPr>
                <w:color w:val="000000"/>
                <w:sz w:val="16"/>
                <w:szCs w:val="16"/>
              </w:rPr>
              <w:t>2.4%</w:t>
            </w:r>
          </w:p>
        </w:tc>
        <w:tc>
          <w:tcPr>
            <w:tcW w:w="211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45A4D6F" w14:textId="77777777" w:rsidR="00076F50" w:rsidRDefault="004666FC">
            <w:pPr>
              <w:jc w:val="center"/>
            </w:pPr>
            <w:r>
              <w:rPr>
                <w:color w:val="000000"/>
                <w:sz w:val="16"/>
                <w:szCs w:val="16"/>
              </w:rPr>
              <w:t>compressing</w:t>
            </w:r>
          </w:p>
        </w:tc>
      </w:tr>
      <w:tr w:rsidR="00076F50" w14:paraId="5467C546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517FFC" w14:textId="77777777" w:rsidR="00076F50" w:rsidRDefault="004666FC">
            <w:r>
              <w:rPr>
                <w:color w:val="000000"/>
                <w:sz w:val="16"/>
                <w:szCs w:val="16"/>
              </w:rPr>
              <w:t xml:space="preserve">Net income (to </w:t>
            </w:r>
            <w:proofErr w:type="spellStart"/>
            <w:r>
              <w:rPr>
                <w:color w:val="000000"/>
                <w:sz w:val="16"/>
                <w:szCs w:val="16"/>
              </w:rPr>
              <w:t>Attronica</w:t>
            </w:r>
            <w:proofErr w:type="spellEnd"/>
            <w:r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2117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A7AE8E" w14:textId="77777777" w:rsidR="00076F50" w:rsidRDefault="004666FC">
            <w:pPr>
              <w:jc w:val="center"/>
            </w:pPr>
            <w:r>
              <w:rPr>
                <w:color w:val="000000"/>
                <w:sz w:val="16"/>
                <w:szCs w:val="16"/>
              </w:rPr>
              <w:t>$2.5M</w:t>
            </w:r>
          </w:p>
        </w:tc>
        <w:tc>
          <w:tcPr>
            <w:tcW w:w="2117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E0466B" w14:textId="77777777" w:rsidR="00076F50" w:rsidRDefault="004666FC">
            <w:pPr>
              <w:jc w:val="center"/>
            </w:pPr>
            <w:r>
              <w:rPr>
                <w:color w:val="000000"/>
                <w:sz w:val="16"/>
                <w:szCs w:val="16"/>
              </w:rPr>
              <w:t>$1.3M</w:t>
            </w:r>
          </w:p>
        </w:tc>
        <w:tc>
          <w:tcPr>
            <w:tcW w:w="2117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FA3FA1" w14:textId="77777777" w:rsidR="00076F50" w:rsidRDefault="004666FC">
            <w:pPr>
              <w:jc w:val="center"/>
            </w:pPr>
            <w:r>
              <w:rPr>
                <w:color w:val="000000"/>
                <w:sz w:val="16"/>
                <w:szCs w:val="16"/>
              </w:rPr>
              <w:t>-19.5%</w:t>
            </w:r>
          </w:p>
        </w:tc>
      </w:tr>
      <w:tr w:rsidR="00076F50" w14:paraId="42EBA6CE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07FAB4" w14:textId="77777777" w:rsidR="00076F50" w:rsidRDefault="004666FC">
            <w:proofErr w:type="gramStart"/>
            <w:r>
              <w:rPr>
                <w:color w:val="000000"/>
                <w:sz w:val="16"/>
                <w:szCs w:val="16"/>
              </w:rPr>
              <w:t>Top-10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customer concentration</w:t>
            </w:r>
          </w:p>
        </w:tc>
        <w:tc>
          <w:tcPr>
            <w:tcW w:w="211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2990ED" w14:textId="77777777" w:rsidR="00076F50" w:rsidRDefault="004666FC">
            <w:pPr>
              <w:jc w:val="center"/>
            </w:pPr>
            <w:r>
              <w:rPr>
                <w:color w:val="000000"/>
                <w:sz w:val="16"/>
                <w:szCs w:val="16"/>
              </w:rPr>
              <w:t>82.5%</w:t>
            </w:r>
          </w:p>
        </w:tc>
        <w:tc>
          <w:tcPr>
            <w:tcW w:w="211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A99D27" w14:textId="77777777" w:rsidR="00076F50" w:rsidRDefault="004666FC">
            <w:pPr>
              <w:jc w:val="center"/>
            </w:pPr>
            <w:r>
              <w:rPr>
                <w:color w:val="000000"/>
                <w:sz w:val="16"/>
                <w:szCs w:val="16"/>
              </w:rPr>
              <w:t>80.3%</w:t>
            </w:r>
          </w:p>
        </w:tc>
        <w:tc>
          <w:tcPr>
            <w:tcW w:w="211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FEBED4" w14:textId="77777777" w:rsidR="00076F50" w:rsidRDefault="004666FC">
            <w:pPr>
              <w:jc w:val="center"/>
            </w:pPr>
            <w:r>
              <w:rPr>
                <w:color w:val="000000"/>
                <w:sz w:val="16"/>
                <w:szCs w:val="16"/>
              </w:rPr>
              <w:t>79-83% every year</w:t>
            </w:r>
          </w:p>
        </w:tc>
      </w:tr>
    </w:tbl>
    <w:p w14:paraId="656AF3DE" w14:textId="77777777" w:rsidR="00076F50" w:rsidRDefault="00076F50">
      <w:pPr>
        <w:spacing w:after="120"/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99"/>
        <w:gridCol w:w="2117"/>
        <w:gridCol w:w="2117"/>
        <w:gridCol w:w="2117"/>
      </w:tblGrid>
      <w:tr w:rsidR="00076F50" w14:paraId="54AA95A6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000" w:type="dxa"/>
            <w:shd w:val="clear" w:color="auto" w:fill="1F3864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1A6CFB" w14:textId="77777777" w:rsidR="00076F50" w:rsidRDefault="004666FC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AV Integration Division</w:t>
            </w:r>
          </w:p>
        </w:tc>
        <w:tc>
          <w:tcPr>
            <w:tcW w:w="2117" w:type="dxa"/>
            <w:shd w:val="clear" w:color="auto" w:fill="1F3864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D3B126" w14:textId="77777777" w:rsidR="00076F50" w:rsidRDefault="004666FC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FY2020</w:t>
            </w:r>
          </w:p>
        </w:tc>
        <w:tc>
          <w:tcPr>
            <w:tcW w:w="2117" w:type="dxa"/>
            <w:shd w:val="clear" w:color="auto" w:fill="1F3864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3FE216" w14:textId="77777777" w:rsidR="00076F50" w:rsidRDefault="004666FC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FY2025</w:t>
            </w:r>
          </w:p>
        </w:tc>
        <w:tc>
          <w:tcPr>
            <w:tcW w:w="2117" w:type="dxa"/>
            <w:shd w:val="clear" w:color="auto" w:fill="1F3864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D13351" w14:textId="77777777" w:rsidR="00076F50" w:rsidRDefault="004666FC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CAGR / Trend</w:t>
            </w:r>
          </w:p>
        </w:tc>
      </w:tr>
      <w:tr w:rsidR="00076F50" w14:paraId="3F3EFA41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3BD85F" w14:textId="77777777" w:rsidR="00076F50" w:rsidRDefault="004666FC">
            <w:r>
              <w:rPr>
                <w:color w:val="000000"/>
                <w:sz w:val="16"/>
                <w:szCs w:val="16"/>
              </w:rPr>
              <w:t>AV revenue</w:t>
            </w:r>
          </w:p>
        </w:tc>
        <w:tc>
          <w:tcPr>
            <w:tcW w:w="211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E890E6" w14:textId="77777777" w:rsidR="00076F50" w:rsidRDefault="004666FC">
            <w:pPr>
              <w:jc w:val="center"/>
            </w:pPr>
            <w:r>
              <w:rPr>
                <w:color w:val="000000"/>
                <w:sz w:val="16"/>
                <w:szCs w:val="16"/>
              </w:rPr>
              <w:t>$2.3M</w:t>
            </w:r>
          </w:p>
        </w:tc>
        <w:tc>
          <w:tcPr>
            <w:tcW w:w="211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0B9FF8" w14:textId="77777777" w:rsidR="00076F50" w:rsidRDefault="004666FC">
            <w:pPr>
              <w:jc w:val="center"/>
            </w:pPr>
            <w:r>
              <w:rPr>
                <w:color w:val="000000"/>
                <w:sz w:val="16"/>
                <w:szCs w:val="16"/>
              </w:rPr>
              <w:t>$5.0M</w:t>
            </w:r>
          </w:p>
        </w:tc>
        <w:tc>
          <w:tcPr>
            <w:tcW w:w="211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04D3D2" w14:textId="77777777" w:rsidR="00076F50" w:rsidRDefault="004666FC">
            <w:pPr>
              <w:jc w:val="center"/>
            </w:pPr>
            <w:r>
              <w:rPr>
                <w:color w:val="000000"/>
                <w:sz w:val="16"/>
                <w:szCs w:val="16"/>
              </w:rPr>
              <w:t>+16.6%</w:t>
            </w:r>
          </w:p>
        </w:tc>
      </w:tr>
      <w:tr w:rsidR="00076F50" w14:paraId="1D0BA006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1356B8" w14:textId="77777777" w:rsidR="00076F50" w:rsidRDefault="004666FC">
            <w:r>
              <w:rPr>
                <w:color w:val="000000"/>
                <w:sz w:val="16"/>
                <w:szCs w:val="16"/>
              </w:rPr>
              <w:t>AV gross margin</w:t>
            </w:r>
          </w:p>
        </w:tc>
        <w:tc>
          <w:tcPr>
            <w:tcW w:w="2117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F2B924" w14:textId="77777777" w:rsidR="00076F50" w:rsidRDefault="004666FC">
            <w:pPr>
              <w:jc w:val="center"/>
            </w:pPr>
            <w:r>
              <w:rPr>
                <w:color w:val="000000"/>
                <w:sz w:val="16"/>
                <w:szCs w:val="16"/>
              </w:rPr>
              <w:t>34.1%</w:t>
            </w:r>
          </w:p>
        </w:tc>
        <w:tc>
          <w:tcPr>
            <w:tcW w:w="2117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B59449" w14:textId="77777777" w:rsidR="00076F50" w:rsidRDefault="004666FC">
            <w:pPr>
              <w:jc w:val="center"/>
            </w:pPr>
            <w:r>
              <w:rPr>
                <w:color w:val="000000"/>
                <w:sz w:val="16"/>
                <w:szCs w:val="16"/>
              </w:rPr>
              <w:t>61.1%</w:t>
            </w:r>
          </w:p>
        </w:tc>
        <w:tc>
          <w:tcPr>
            <w:tcW w:w="2117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069840" w14:textId="77777777" w:rsidR="00076F50" w:rsidRDefault="004666FC">
            <w:pPr>
              <w:jc w:val="center"/>
            </w:pPr>
            <w:r>
              <w:rPr>
                <w:color w:val="000000"/>
                <w:sz w:val="16"/>
                <w:szCs w:val="16"/>
              </w:rPr>
              <w:t>~4.3x consolidated GM</w:t>
            </w:r>
          </w:p>
        </w:tc>
      </w:tr>
      <w:tr w:rsidR="00076F50" w14:paraId="5DA0C39E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06D8AD" w14:textId="77777777" w:rsidR="00076F50" w:rsidRDefault="004666FC">
            <w:r>
              <w:rPr>
                <w:color w:val="000000"/>
                <w:sz w:val="16"/>
                <w:szCs w:val="16"/>
              </w:rPr>
              <w:t>AV operating margin</w:t>
            </w:r>
          </w:p>
        </w:tc>
        <w:tc>
          <w:tcPr>
            <w:tcW w:w="211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BB33E2A" w14:textId="77777777" w:rsidR="00076F50" w:rsidRDefault="004666FC">
            <w:pPr>
              <w:jc w:val="center"/>
            </w:pPr>
            <w:r>
              <w:rPr>
                <w:color w:val="000000"/>
                <w:sz w:val="16"/>
                <w:szCs w:val="16"/>
              </w:rPr>
              <w:t>4.2%</w:t>
            </w:r>
          </w:p>
        </w:tc>
        <w:tc>
          <w:tcPr>
            <w:tcW w:w="211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649883" w14:textId="77777777" w:rsidR="00076F50" w:rsidRDefault="004666FC">
            <w:pPr>
              <w:jc w:val="center"/>
            </w:pPr>
            <w:r>
              <w:rPr>
                <w:color w:val="000000"/>
                <w:sz w:val="16"/>
                <w:szCs w:val="16"/>
              </w:rPr>
              <w:t>12.2%</w:t>
            </w:r>
          </w:p>
        </w:tc>
        <w:tc>
          <w:tcPr>
            <w:tcW w:w="211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3BCFD4" w14:textId="77777777" w:rsidR="00076F50" w:rsidRDefault="004666FC">
            <w:pPr>
              <w:jc w:val="center"/>
            </w:pPr>
            <w:r>
              <w:rPr>
                <w:color w:val="000000"/>
                <w:sz w:val="16"/>
                <w:szCs w:val="16"/>
              </w:rPr>
              <w:t>was negative FY22-24</w:t>
            </w:r>
          </w:p>
        </w:tc>
      </w:tr>
      <w:tr w:rsidR="00076F50" w14:paraId="1595D26C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B7D68CD" w14:textId="77777777" w:rsidR="00076F50" w:rsidRDefault="004666FC">
            <w:r>
              <w:rPr>
                <w:color w:val="000000"/>
                <w:sz w:val="16"/>
                <w:szCs w:val="16"/>
              </w:rPr>
              <w:t>AV share of consolidated gross profit</w:t>
            </w:r>
          </w:p>
        </w:tc>
        <w:tc>
          <w:tcPr>
            <w:tcW w:w="2117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2A699A" w14:textId="77777777" w:rsidR="00076F50" w:rsidRDefault="004666FC">
            <w:pPr>
              <w:jc w:val="center"/>
            </w:pPr>
            <w:r>
              <w:rPr>
                <w:color w:val="000000"/>
                <w:sz w:val="16"/>
                <w:szCs w:val="16"/>
              </w:rPr>
              <w:t>n/a</w:t>
            </w:r>
          </w:p>
        </w:tc>
        <w:tc>
          <w:tcPr>
            <w:tcW w:w="2117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21E66E" w14:textId="77777777" w:rsidR="00076F50" w:rsidRDefault="004666FC">
            <w:pPr>
              <w:jc w:val="center"/>
            </w:pPr>
            <w:r>
              <w:rPr>
                <w:color w:val="000000"/>
                <w:sz w:val="16"/>
                <w:szCs w:val="16"/>
              </w:rPr>
              <w:t>34.3%</w:t>
            </w:r>
          </w:p>
        </w:tc>
        <w:tc>
          <w:tcPr>
            <w:tcW w:w="2117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91C742" w14:textId="77777777" w:rsidR="00076F50" w:rsidRDefault="004666FC">
            <w:pPr>
              <w:jc w:val="center"/>
            </w:pPr>
            <w:r>
              <w:rPr>
                <w:color w:val="000000"/>
                <w:sz w:val="16"/>
                <w:szCs w:val="16"/>
              </w:rPr>
              <w:t>on ~8% of revenue</w:t>
            </w:r>
          </w:p>
        </w:tc>
      </w:tr>
    </w:tbl>
    <w:p w14:paraId="2FB6297D" w14:textId="77777777" w:rsidR="00076F50" w:rsidRDefault="00076F50">
      <w:pPr>
        <w:spacing w:after="160"/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50"/>
      </w:tblGrid>
      <w:tr w:rsidR="00076F50" w14:paraId="6BDAD295" w14:textId="77777777">
        <w:tblPrEx>
          <w:tblCellMar>
            <w:top w:w="0" w:type="dxa"/>
            <w:bottom w:w="0" w:type="dxa"/>
          </w:tblCellMar>
        </w:tblPrEx>
        <w:tc>
          <w:tcPr>
            <w:tcW w:w="9350" w:type="dxa"/>
            <w:shd w:val="clear" w:color="auto" w:fill="FFF3CD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7A627959" w14:textId="77777777" w:rsidR="00076F50" w:rsidRDefault="004666FC">
            <w:pPr>
              <w:spacing w:after="60"/>
            </w:pPr>
            <w:r>
              <w:rPr>
                <w:b/>
                <w:bCs/>
                <w:color w:val="1F3864"/>
              </w:rPr>
              <w:t>RECOMMENDATION AT A GLANCE</w:t>
            </w:r>
          </w:p>
          <w:p w14:paraId="2ED63C7A" w14:textId="77777777" w:rsidR="00076F50" w:rsidRDefault="004666FC">
            <w:pPr>
              <w:spacing w:after="30"/>
            </w:pPr>
            <w:r>
              <w:rPr>
                <w:sz w:val="17"/>
                <w:szCs w:val="17"/>
              </w:rPr>
              <w:t>Invest in AV growth at the Base (9%) scenario, self-funded from FY2025 EBIDA surplus. Full case on Page 4.</w:t>
            </w:r>
          </w:p>
        </w:tc>
      </w:tr>
    </w:tbl>
    <w:p w14:paraId="44CD9C29" w14:textId="77777777" w:rsidR="00076F50" w:rsidRDefault="004666FC">
      <w:pPr>
        <w:pBdr>
          <w:top w:val="single" w:sz="4" w:space="4" w:color="AAAAAA"/>
        </w:pBdr>
        <w:spacing w:before="100"/>
      </w:pPr>
      <w:r>
        <w:rPr>
          <w:i/>
          <w:iCs/>
          <w:color w:val="666666"/>
          <w:sz w:val="13"/>
          <w:szCs w:val="13"/>
        </w:rPr>
        <w:t xml:space="preserve">Sources: </w:t>
      </w:r>
      <w:proofErr w:type="spellStart"/>
      <w:r>
        <w:rPr>
          <w:i/>
          <w:iCs/>
          <w:color w:val="666666"/>
          <w:sz w:val="13"/>
          <w:szCs w:val="13"/>
        </w:rPr>
        <w:t>Attronica</w:t>
      </w:r>
      <w:proofErr w:type="spellEnd"/>
      <w:r>
        <w:rPr>
          <w:i/>
          <w:iCs/>
          <w:color w:val="666666"/>
          <w:sz w:val="13"/>
          <w:szCs w:val="13"/>
        </w:rPr>
        <w:t xml:space="preserve"> Income Statement, AV Division Economics, Growth Feasibility, Capital Allocation tabs (</w:t>
      </w:r>
      <w:proofErr w:type="spellStart"/>
      <w:r>
        <w:rPr>
          <w:i/>
          <w:iCs/>
          <w:color w:val="666666"/>
          <w:sz w:val="13"/>
          <w:szCs w:val="13"/>
        </w:rPr>
        <w:t>Attronica</w:t>
      </w:r>
      <w:proofErr w:type="spellEnd"/>
      <w:r>
        <w:rPr>
          <w:i/>
          <w:iCs/>
          <w:color w:val="666666"/>
          <w:sz w:val="13"/>
          <w:szCs w:val="13"/>
        </w:rPr>
        <w:t xml:space="preserve"> financial model, Apr 2026); </w:t>
      </w:r>
      <w:proofErr w:type="spellStart"/>
      <w:r>
        <w:rPr>
          <w:i/>
          <w:iCs/>
          <w:color w:val="666666"/>
          <w:sz w:val="13"/>
          <w:szCs w:val="13"/>
        </w:rPr>
        <w:t>Attronica</w:t>
      </w:r>
      <w:proofErr w:type="spellEnd"/>
      <w:r>
        <w:rPr>
          <w:i/>
          <w:iCs/>
          <w:color w:val="666666"/>
          <w:sz w:val="13"/>
          <w:szCs w:val="13"/>
        </w:rPr>
        <w:t xml:space="preserve"> Leadership Memo, Aug 15, 2026.</w:t>
      </w:r>
    </w:p>
    <w:p w14:paraId="1EEC9874" w14:textId="77777777" w:rsidR="00076F50" w:rsidRDefault="00076F50">
      <w:pPr>
        <w:sectPr w:rsidR="00076F50">
          <w:pgSz w:w="12240" w:h="15840"/>
          <w:pgMar w:top="720" w:right="720" w:bottom="720" w:left="720" w:header="708" w:footer="708" w:gutter="0"/>
          <w:cols w:space="720"/>
          <w:docGrid w:linePitch="360"/>
        </w:sectPr>
      </w:pPr>
    </w:p>
    <w:p w14:paraId="75A15F85" w14:textId="77777777" w:rsidR="00076F50" w:rsidRDefault="004666FC">
      <w:pPr>
        <w:shd w:val="clear" w:color="auto" w:fill="1F3864"/>
        <w:spacing w:before="160" w:after="120"/>
      </w:pPr>
      <w:r>
        <w:rPr>
          <w:b/>
          <w:bCs/>
          <w:color w:val="FFFFFF"/>
          <w:spacing w:val="6"/>
          <w:sz w:val="22"/>
          <w:szCs w:val="22"/>
        </w:rPr>
        <w:lastRenderedPageBreak/>
        <w:t>WHY THE CORE BUSINESS IS UNDER PRESSURE</w:t>
      </w:r>
    </w:p>
    <w:p w14:paraId="4ADA7929" w14:textId="77777777" w:rsidR="00076F50" w:rsidRDefault="004666FC">
      <w:pPr>
        <w:spacing w:before="160" w:after="80"/>
      </w:pPr>
      <w:r>
        <w:rPr>
          <w:b/>
          <w:bCs/>
          <w:color w:val="1F3864"/>
          <w:sz w:val="21"/>
          <w:szCs w:val="21"/>
        </w:rPr>
        <w:t>Customer concentration hasn't structurally eased</w:t>
      </w:r>
    </w:p>
    <w:p w14:paraId="3A66FFDF" w14:textId="77777777" w:rsidR="00076F50" w:rsidRDefault="004666FC">
      <w:pPr>
        <w:spacing w:after="120"/>
      </w:pPr>
      <w:proofErr w:type="spellStart"/>
      <w:r>
        <w:t>Thermo</w:t>
      </w:r>
      <w:proofErr w:type="spellEnd"/>
      <w:r>
        <w:t xml:space="preserve"> Fisher/Applied Biosystems (combined) accounted for 35.5% of FY2025 revenue ($22.4M), down from a peak of 46.9% in FY2022 ($39.2M), but still more than a third of the business. The top 10 customers have driven 79-83% of revenue in every year FY2022-FY2025, with no material easing at that level. This is not primarily a churn story: 30 customers have billed in every year since 2021, and those persistent accounts generated $57.9M, 92% of FY2025 revenue, so the same loyal base is spending less rather than leavi</w:t>
      </w:r>
      <w:r>
        <w:t>ng. AV integration, sold in part into this same base, is the clearest evidence these accounts will buy higher-margin work when it's offered.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50"/>
        <w:gridCol w:w="1700"/>
        <w:gridCol w:w="1700"/>
        <w:gridCol w:w="1700"/>
        <w:gridCol w:w="1700"/>
      </w:tblGrid>
      <w:tr w:rsidR="00076F50" w14:paraId="5B706ABD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550" w:type="dxa"/>
            <w:shd w:val="clear" w:color="auto" w:fill="1F3864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72F005" w14:textId="77777777" w:rsidR="00076F50" w:rsidRDefault="004666FC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Customer concentration</w:t>
            </w:r>
          </w:p>
        </w:tc>
        <w:tc>
          <w:tcPr>
            <w:tcW w:w="1700" w:type="dxa"/>
            <w:shd w:val="clear" w:color="auto" w:fill="1F3864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6EB9C6" w14:textId="77777777" w:rsidR="00076F50" w:rsidRDefault="004666FC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FY2022</w:t>
            </w:r>
          </w:p>
        </w:tc>
        <w:tc>
          <w:tcPr>
            <w:tcW w:w="1700" w:type="dxa"/>
            <w:shd w:val="clear" w:color="auto" w:fill="1F3864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D99F1F" w14:textId="77777777" w:rsidR="00076F50" w:rsidRDefault="004666FC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FY2023</w:t>
            </w:r>
          </w:p>
        </w:tc>
        <w:tc>
          <w:tcPr>
            <w:tcW w:w="1700" w:type="dxa"/>
            <w:shd w:val="clear" w:color="auto" w:fill="1F3864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BA38F5" w14:textId="77777777" w:rsidR="00076F50" w:rsidRDefault="004666FC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FY2024</w:t>
            </w:r>
          </w:p>
        </w:tc>
        <w:tc>
          <w:tcPr>
            <w:tcW w:w="1700" w:type="dxa"/>
            <w:shd w:val="clear" w:color="auto" w:fill="1F3864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0280C66" w14:textId="77777777" w:rsidR="00076F50" w:rsidRDefault="004666FC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FY2025</w:t>
            </w:r>
          </w:p>
        </w:tc>
      </w:tr>
      <w:tr w:rsidR="00076F50" w14:paraId="53858F7E" w14:textId="77777777">
        <w:tblPrEx>
          <w:tblCellMar>
            <w:top w:w="0" w:type="dxa"/>
            <w:bottom w:w="0" w:type="dxa"/>
          </w:tblCellMar>
        </w:tblPrEx>
        <w:tc>
          <w:tcPr>
            <w:tcW w:w="25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BBABA8" w14:textId="77777777" w:rsidR="00076F50" w:rsidRDefault="004666FC">
            <w:r>
              <w:rPr>
                <w:color w:val="000000"/>
                <w:sz w:val="16"/>
                <w:szCs w:val="16"/>
              </w:rPr>
              <w:t>Top 1 customer</w:t>
            </w:r>
          </w:p>
        </w:tc>
        <w:tc>
          <w:tcPr>
            <w:tcW w:w="1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B4FB15" w14:textId="77777777" w:rsidR="00076F50" w:rsidRDefault="004666FC">
            <w:pPr>
              <w:jc w:val="center"/>
            </w:pPr>
            <w:r>
              <w:rPr>
                <w:color w:val="000000"/>
                <w:sz w:val="16"/>
                <w:szCs w:val="16"/>
              </w:rPr>
              <w:t>46.9%</w:t>
            </w:r>
          </w:p>
        </w:tc>
        <w:tc>
          <w:tcPr>
            <w:tcW w:w="1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115788" w14:textId="77777777" w:rsidR="00076F50" w:rsidRDefault="004666FC">
            <w:pPr>
              <w:jc w:val="center"/>
            </w:pPr>
            <w:r>
              <w:rPr>
                <w:color w:val="000000"/>
                <w:sz w:val="16"/>
                <w:szCs w:val="16"/>
              </w:rPr>
              <w:t>35.2%</w:t>
            </w:r>
          </w:p>
        </w:tc>
        <w:tc>
          <w:tcPr>
            <w:tcW w:w="1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57D366" w14:textId="77777777" w:rsidR="00076F50" w:rsidRDefault="004666FC">
            <w:pPr>
              <w:jc w:val="center"/>
            </w:pPr>
            <w:r>
              <w:rPr>
                <w:color w:val="000000"/>
                <w:sz w:val="16"/>
                <w:szCs w:val="16"/>
              </w:rPr>
              <w:t>39.1%</w:t>
            </w:r>
          </w:p>
        </w:tc>
        <w:tc>
          <w:tcPr>
            <w:tcW w:w="1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55C578" w14:textId="77777777" w:rsidR="00076F50" w:rsidRDefault="004666FC">
            <w:pPr>
              <w:jc w:val="center"/>
            </w:pPr>
            <w:r>
              <w:rPr>
                <w:color w:val="000000"/>
                <w:sz w:val="16"/>
                <w:szCs w:val="16"/>
              </w:rPr>
              <w:t>35.5%</w:t>
            </w:r>
          </w:p>
        </w:tc>
      </w:tr>
      <w:tr w:rsidR="00076F50" w14:paraId="2390D0A3" w14:textId="77777777">
        <w:tblPrEx>
          <w:tblCellMar>
            <w:top w:w="0" w:type="dxa"/>
            <w:bottom w:w="0" w:type="dxa"/>
          </w:tblCellMar>
        </w:tblPrEx>
        <w:tc>
          <w:tcPr>
            <w:tcW w:w="2550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DEBB33" w14:textId="77777777" w:rsidR="00076F50" w:rsidRDefault="004666FC">
            <w:r>
              <w:rPr>
                <w:color w:val="000000"/>
                <w:sz w:val="16"/>
                <w:szCs w:val="16"/>
              </w:rPr>
              <w:t>Top 3 customers</w:t>
            </w:r>
          </w:p>
        </w:tc>
        <w:tc>
          <w:tcPr>
            <w:tcW w:w="1700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C078FC" w14:textId="77777777" w:rsidR="00076F50" w:rsidRDefault="004666FC">
            <w:pPr>
              <w:jc w:val="center"/>
            </w:pPr>
            <w:r>
              <w:rPr>
                <w:color w:val="000000"/>
                <w:sz w:val="16"/>
                <w:szCs w:val="16"/>
              </w:rPr>
              <w:t>59.7%</w:t>
            </w:r>
          </w:p>
        </w:tc>
        <w:tc>
          <w:tcPr>
            <w:tcW w:w="1700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EE0CC6" w14:textId="77777777" w:rsidR="00076F50" w:rsidRDefault="004666FC">
            <w:pPr>
              <w:jc w:val="center"/>
            </w:pPr>
            <w:r>
              <w:rPr>
                <w:color w:val="000000"/>
                <w:sz w:val="16"/>
                <w:szCs w:val="16"/>
              </w:rPr>
              <w:t>51.1%</w:t>
            </w:r>
          </w:p>
        </w:tc>
        <w:tc>
          <w:tcPr>
            <w:tcW w:w="1700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D6CEEBC" w14:textId="77777777" w:rsidR="00076F50" w:rsidRDefault="004666FC">
            <w:pPr>
              <w:jc w:val="center"/>
            </w:pPr>
            <w:r>
              <w:rPr>
                <w:color w:val="000000"/>
                <w:sz w:val="16"/>
                <w:szCs w:val="16"/>
              </w:rPr>
              <w:t>58.4%</w:t>
            </w:r>
          </w:p>
        </w:tc>
        <w:tc>
          <w:tcPr>
            <w:tcW w:w="1700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0F5DDD" w14:textId="77777777" w:rsidR="00076F50" w:rsidRDefault="004666FC">
            <w:pPr>
              <w:jc w:val="center"/>
            </w:pPr>
            <w:r>
              <w:rPr>
                <w:color w:val="000000"/>
                <w:sz w:val="16"/>
                <w:szCs w:val="16"/>
              </w:rPr>
              <w:t>52.7%</w:t>
            </w:r>
          </w:p>
        </w:tc>
      </w:tr>
      <w:tr w:rsidR="00076F50" w14:paraId="3186429B" w14:textId="77777777">
        <w:tblPrEx>
          <w:tblCellMar>
            <w:top w:w="0" w:type="dxa"/>
            <w:bottom w:w="0" w:type="dxa"/>
          </w:tblCellMar>
        </w:tblPrEx>
        <w:tc>
          <w:tcPr>
            <w:tcW w:w="25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A0BFAE" w14:textId="77777777" w:rsidR="00076F50" w:rsidRDefault="004666FC">
            <w:r>
              <w:rPr>
                <w:color w:val="000000"/>
                <w:sz w:val="16"/>
                <w:szCs w:val="16"/>
              </w:rPr>
              <w:t>Top 10 customers</w:t>
            </w:r>
          </w:p>
        </w:tc>
        <w:tc>
          <w:tcPr>
            <w:tcW w:w="1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E62E1D" w14:textId="77777777" w:rsidR="00076F50" w:rsidRDefault="004666FC">
            <w:pPr>
              <w:jc w:val="center"/>
            </w:pPr>
            <w:r>
              <w:rPr>
                <w:color w:val="000000"/>
                <w:sz w:val="16"/>
                <w:szCs w:val="16"/>
              </w:rPr>
              <w:t>82.5%</w:t>
            </w:r>
          </w:p>
        </w:tc>
        <w:tc>
          <w:tcPr>
            <w:tcW w:w="1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83AEFA" w14:textId="77777777" w:rsidR="00076F50" w:rsidRDefault="004666FC">
            <w:pPr>
              <w:jc w:val="center"/>
            </w:pPr>
            <w:r>
              <w:rPr>
                <w:color w:val="000000"/>
                <w:sz w:val="16"/>
                <w:szCs w:val="16"/>
              </w:rPr>
              <w:t>79.3%</w:t>
            </w:r>
          </w:p>
        </w:tc>
        <w:tc>
          <w:tcPr>
            <w:tcW w:w="1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DC9F9C" w14:textId="77777777" w:rsidR="00076F50" w:rsidRDefault="004666FC">
            <w:pPr>
              <w:jc w:val="center"/>
            </w:pPr>
            <w:r>
              <w:rPr>
                <w:color w:val="000000"/>
                <w:sz w:val="16"/>
                <w:szCs w:val="16"/>
              </w:rPr>
              <w:t>83.2%</w:t>
            </w:r>
          </w:p>
        </w:tc>
        <w:tc>
          <w:tcPr>
            <w:tcW w:w="1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E41F02" w14:textId="77777777" w:rsidR="00076F50" w:rsidRDefault="004666FC">
            <w:pPr>
              <w:jc w:val="center"/>
            </w:pPr>
            <w:r>
              <w:rPr>
                <w:color w:val="000000"/>
                <w:sz w:val="16"/>
                <w:szCs w:val="16"/>
              </w:rPr>
              <w:t>80.3%</w:t>
            </w:r>
          </w:p>
        </w:tc>
      </w:tr>
    </w:tbl>
    <w:p w14:paraId="06B5F49A" w14:textId="77777777" w:rsidR="00076F50" w:rsidRDefault="004666FC">
      <w:pPr>
        <w:pBdr>
          <w:top w:val="single" w:sz="4" w:space="4" w:color="AAAAAA"/>
        </w:pBdr>
        <w:spacing w:before="100"/>
      </w:pPr>
      <w:r>
        <w:rPr>
          <w:i/>
          <w:iCs/>
          <w:color w:val="666666"/>
          <w:sz w:val="13"/>
          <w:szCs w:val="13"/>
        </w:rPr>
        <w:t xml:space="preserve">Source: Customer Risk &amp; Growth tab, </w:t>
      </w:r>
      <w:proofErr w:type="spellStart"/>
      <w:r>
        <w:rPr>
          <w:i/>
          <w:iCs/>
          <w:color w:val="666666"/>
          <w:sz w:val="13"/>
          <w:szCs w:val="13"/>
        </w:rPr>
        <w:t>Attronica</w:t>
      </w:r>
      <w:proofErr w:type="spellEnd"/>
      <w:r>
        <w:rPr>
          <w:i/>
          <w:iCs/>
          <w:color w:val="666666"/>
          <w:sz w:val="13"/>
          <w:szCs w:val="13"/>
        </w:rPr>
        <w:t xml:space="preserve"> financial model (customer </w:t>
      </w:r>
      <w:proofErr w:type="spellStart"/>
      <w:r>
        <w:rPr>
          <w:i/>
          <w:iCs/>
          <w:color w:val="666666"/>
          <w:sz w:val="13"/>
          <w:szCs w:val="13"/>
        </w:rPr>
        <w:t>mailables</w:t>
      </w:r>
      <w:proofErr w:type="spellEnd"/>
      <w:r>
        <w:rPr>
          <w:i/>
          <w:iCs/>
          <w:color w:val="666666"/>
          <w:sz w:val="13"/>
          <w:szCs w:val="13"/>
        </w:rPr>
        <w:t xml:space="preserve"> 2021-2025 + audited Note 7).</w:t>
      </w:r>
    </w:p>
    <w:p w14:paraId="0D756594" w14:textId="77777777" w:rsidR="00076F50" w:rsidRDefault="004666FC">
      <w:pPr>
        <w:spacing w:before="160" w:after="80"/>
      </w:pPr>
      <w:r>
        <w:rPr>
          <w:b/>
          <w:bCs/>
          <w:color w:val="1F3864"/>
          <w:sz w:val="21"/>
          <w:szCs w:val="21"/>
        </w:rPr>
        <w:t>Operating leverage is deteriorating faster than revenue is falling</w:t>
      </w:r>
    </w:p>
    <w:p w14:paraId="6BC6A9FE" w14:textId="77777777" w:rsidR="00076F50" w:rsidRDefault="004666FC">
      <w:pPr>
        <w:spacing w:after="120"/>
      </w:pPr>
      <w:r>
        <w:t>Gross margin has held in a tight 13.5-15.4% band through FY2022-FY2025 even as revenue fell approximately 24%, so gross-level cost discipline is intact. Operating leverage is not: SG&amp;A consumed 72.7% of gross profit in FY2022 versus 82.7% in FY2025. SG&amp;A fell only 3.4% on a CAGR basis while revenue fell 8.9%, because most of the cost base (wages, facilities, administration) is fixed or semi-variable rather than tied to sales volume. With headcount held flat, revenue per employee fell from roughly $1.0M to $</w:t>
      </w:r>
      <w:r>
        <w:t xml:space="preserve">761K-$790K and gross profit per employee from approximately $136K to $108K-$111K, placing </w:t>
      </w:r>
      <w:proofErr w:type="spellStart"/>
      <w:r>
        <w:t>Attronica</w:t>
      </w:r>
      <w:proofErr w:type="spellEnd"/>
      <w:r>
        <w:t xml:space="preserve"> near the bottom of the public VAR comparison band.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50"/>
        <w:gridCol w:w="1750"/>
        <w:gridCol w:w="1750"/>
        <w:gridCol w:w="1750"/>
        <w:gridCol w:w="1750"/>
      </w:tblGrid>
      <w:tr w:rsidR="00076F50" w14:paraId="371F4C6A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350" w:type="dxa"/>
            <w:shd w:val="clear" w:color="auto" w:fill="1F3864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745D33" w14:textId="77777777" w:rsidR="00076F50" w:rsidRDefault="004666FC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Public VAR peer (FY24)</w:t>
            </w:r>
          </w:p>
        </w:tc>
        <w:tc>
          <w:tcPr>
            <w:tcW w:w="1750" w:type="dxa"/>
            <w:shd w:val="clear" w:color="auto" w:fill="1F3864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2844F7" w14:textId="77777777" w:rsidR="00076F50" w:rsidRDefault="004666FC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Rev / Employee</w:t>
            </w:r>
          </w:p>
        </w:tc>
        <w:tc>
          <w:tcPr>
            <w:tcW w:w="1750" w:type="dxa"/>
            <w:shd w:val="clear" w:color="auto" w:fill="1F3864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EAB6F6" w14:textId="77777777" w:rsidR="00076F50" w:rsidRDefault="004666FC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Gross Margin</w:t>
            </w:r>
          </w:p>
        </w:tc>
        <w:tc>
          <w:tcPr>
            <w:tcW w:w="1750" w:type="dxa"/>
            <w:shd w:val="clear" w:color="auto" w:fill="1F3864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79BF53" w14:textId="77777777" w:rsidR="00076F50" w:rsidRDefault="004666FC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GP / Employee</w:t>
            </w:r>
          </w:p>
        </w:tc>
        <w:tc>
          <w:tcPr>
            <w:tcW w:w="1750" w:type="dxa"/>
            <w:shd w:val="clear" w:color="auto" w:fill="1F3864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ADC9B0" w14:textId="77777777" w:rsidR="00076F50" w:rsidRDefault="00076F50">
            <w:pPr>
              <w:jc w:val="center"/>
            </w:pPr>
          </w:p>
        </w:tc>
      </w:tr>
      <w:tr w:rsidR="00076F50" w14:paraId="230575CB" w14:textId="77777777">
        <w:tblPrEx>
          <w:tblCellMar>
            <w:top w:w="0" w:type="dxa"/>
            <w:bottom w:w="0" w:type="dxa"/>
          </w:tblCellMar>
        </w:tblPrEx>
        <w:tc>
          <w:tcPr>
            <w:tcW w:w="23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C3526D" w14:textId="77777777" w:rsidR="00076F50" w:rsidRDefault="004666FC">
            <w:r>
              <w:rPr>
                <w:color w:val="000000"/>
                <w:sz w:val="16"/>
                <w:szCs w:val="16"/>
              </w:rPr>
              <w:t>CDW</w:t>
            </w:r>
          </w:p>
        </w:tc>
        <w:tc>
          <w:tcPr>
            <w:tcW w:w="17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3E0A38" w14:textId="77777777" w:rsidR="00076F50" w:rsidRDefault="004666FC">
            <w:pPr>
              <w:jc w:val="center"/>
            </w:pPr>
            <w:r>
              <w:rPr>
                <w:color w:val="000000"/>
                <w:sz w:val="16"/>
                <w:szCs w:val="16"/>
              </w:rPr>
              <w:t>$1.39M</w:t>
            </w:r>
          </w:p>
        </w:tc>
        <w:tc>
          <w:tcPr>
            <w:tcW w:w="17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1AF264" w14:textId="77777777" w:rsidR="00076F50" w:rsidRDefault="004666FC">
            <w:pPr>
              <w:jc w:val="center"/>
            </w:pPr>
            <w:r>
              <w:rPr>
                <w:color w:val="000000"/>
                <w:sz w:val="16"/>
                <w:szCs w:val="16"/>
              </w:rPr>
              <w:t>17.0%</w:t>
            </w:r>
          </w:p>
        </w:tc>
        <w:tc>
          <w:tcPr>
            <w:tcW w:w="17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D1BD52" w14:textId="77777777" w:rsidR="00076F50" w:rsidRDefault="004666FC">
            <w:pPr>
              <w:jc w:val="center"/>
            </w:pPr>
            <w:r>
              <w:rPr>
                <w:color w:val="000000"/>
                <w:sz w:val="16"/>
                <w:szCs w:val="16"/>
              </w:rPr>
              <w:t>$236K</w:t>
            </w:r>
          </w:p>
        </w:tc>
        <w:tc>
          <w:tcPr>
            <w:tcW w:w="17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58C836" w14:textId="77777777" w:rsidR="00076F50" w:rsidRDefault="00076F50">
            <w:pPr>
              <w:jc w:val="center"/>
            </w:pPr>
          </w:p>
        </w:tc>
      </w:tr>
      <w:tr w:rsidR="00076F50" w14:paraId="3224116F" w14:textId="77777777">
        <w:tblPrEx>
          <w:tblCellMar>
            <w:top w:w="0" w:type="dxa"/>
            <w:bottom w:w="0" w:type="dxa"/>
          </w:tblCellMar>
        </w:tblPrEx>
        <w:tc>
          <w:tcPr>
            <w:tcW w:w="2350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84ACBD" w14:textId="77777777" w:rsidR="00076F50" w:rsidRDefault="004666FC">
            <w:proofErr w:type="spellStart"/>
            <w:r>
              <w:rPr>
                <w:color w:val="000000"/>
                <w:sz w:val="16"/>
                <w:szCs w:val="16"/>
              </w:rPr>
              <w:t>ePlus</w:t>
            </w:r>
            <w:proofErr w:type="spellEnd"/>
          </w:p>
        </w:tc>
        <w:tc>
          <w:tcPr>
            <w:tcW w:w="1750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E39DC9" w14:textId="77777777" w:rsidR="00076F50" w:rsidRDefault="004666FC">
            <w:pPr>
              <w:jc w:val="center"/>
            </w:pPr>
            <w:r>
              <w:rPr>
                <w:color w:val="000000"/>
                <w:sz w:val="16"/>
                <w:szCs w:val="16"/>
              </w:rPr>
              <w:t>$1.17M</w:t>
            </w:r>
          </w:p>
        </w:tc>
        <w:tc>
          <w:tcPr>
            <w:tcW w:w="1750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28FAAA" w14:textId="77777777" w:rsidR="00076F50" w:rsidRDefault="004666FC">
            <w:pPr>
              <w:jc w:val="center"/>
            </w:pPr>
            <w:r>
              <w:rPr>
                <w:color w:val="000000"/>
                <w:sz w:val="16"/>
                <w:szCs w:val="16"/>
              </w:rPr>
              <w:t>26.5%</w:t>
            </w:r>
          </w:p>
        </w:tc>
        <w:tc>
          <w:tcPr>
            <w:tcW w:w="1750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253302" w14:textId="77777777" w:rsidR="00076F50" w:rsidRDefault="004666FC">
            <w:pPr>
              <w:jc w:val="center"/>
            </w:pPr>
            <w:r>
              <w:rPr>
                <w:color w:val="000000"/>
                <w:sz w:val="16"/>
                <w:szCs w:val="16"/>
              </w:rPr>
              <w:t>$310K</w:t>
            </w:r>
          </w:p>
        </w:tc>
        <w:tc>
          <w:tcPr>
            <w:tcW w:w="1750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22B91B" w14:textId="77777777" w:rsidR="00076F50" w:rsidRDefault="00076F50">
            <w:pPr>
              <w:jc w:val="center"/>
            </w:pPr>
          </w:p>
        </w:tc>
      </w:tr>
      <w:tr w:rsidR="00076F50" w14:paraId="528C9959" w14:textId="77777777">
        <w:tblPrEx>
          <w:tblCellMar>
            <w:top w:w="0" w:type="dxa"/>
            <w:bottom w:w="0" w:type="dxa"/>
          </w:tblCellMar>
        </w:tblPrEx>
        <w:tc>
          <w:tcPr>
            <w:tcW w:w="23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BD93E3" w14:textId="77777777" w:rsidR="00076F50" w:rsidRDefault="004666FC">
            <w:r>
              <w:rPr>
                <w:color w:val="000000"/>
                <w:sz w:val="16"/>
                <w:szCs w:val="16"/>
              </w:rPr>
              <w:t>PC Connection</w:t>
            </w:r>
          </w:p>
        </w:tc>
        <w:tc>
          <w:tcPr>
            <w:tcW w:w="17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DF26A8" w14:textId="77777777" w:rsidR="00076F50" w:rsidRDefault="004666FC">
            <w:pPr>
              <w:jc w:val="center"/>
            </w:pPr>
            <w:r>
              <w:rPr>
                <w:color w:val="000000"/>
                <w:sz w:val="16"/>
                <w:szCs w:val="16"/>
              </w:rPr>
              <w:t>$1.08M</w:t>
            </w:r>
          </w:p>
        </w:tc>
        <w:tc>
          <w:tcPr>
            <w:tcW w:w="17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DAE7E7" w14:textId="77777777" w:rsidR="00076F50" w:rsidRDefault="004666FC">
            <w:pPr>
              <w:jc w:val="center"/>
            </w:pPr>
            <w:r>
              <w:rPr>
                <w:color w:val="000000"/>
                <w:sz w:val="16"/>
                <w:szCs w:val="16"/>
              </w:rPr>
              <w:t>17.5%</w:t>
            </w:r>
          </w:p>
        </w:tc>
        <w:tc>
          <w:tcPr>
            <w:tcW w:w="17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FF5FE9" w14:textId="77777777" w:rsidR="00076F50" w:rsidRDefault="004666FC">
            <w:pPr>
              <w:jc w:val="center"/>
            </w:pPr>
            <w:r>
              <w:rPr>
                <w:color w:val="000000"/>
                <w:sz w:val="16"/>
                <w:szCs w:val="16"/>
              </w:rPr>
              <w:t>$189K</w:t>
            </w:r>
          </w:p>
        </w:tc>
        <w:tc>
          <w:tcPr>
            <w:tcW w:w="17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0F4310" w14:textId="77777777" w:rsidR="00076F50" w:rsidRDefault="00076F50">
            <w:pPr>
              <w:jc w:val="center"/>
            </w:pPr>
          </w:p>
        </w:tc>
      </w:tr>
      <w:tr w:rsidR="00076F50" w14:paraId="20EFC452" w14:textId="77777777">
        <w:tblPrEx>
          <w:tblCellMar>
            <w:top w:w="0" w:type="dxa"/>
            <w:bottom w:w="0" w:type="dxa"/>
          </w:tblCellMar>
        </w:tblPrEx>
        <w:tc>
          <w:tcPr>
            <w:tcW w:w="2350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E3D1AE" w14:textId="77777777" w:rsidR="00076F50" w:rsidRDefault="004666FC">
            <w:r>
              <w:rPr>
                <w:color w:val="000000"/>
                <w:sz w:val="16"/>
                <w:szCs w:val="16"/>
              </w:rPr>
              <w:t>Insight Enterprises</w:t>
            </w:r>
          </w:p>
        </w:tc>
        <w:tc>
          <w:tcPr>
            <w:tcW w:w="1750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F00510" w14:textId="77777777" w:rsidR="00076F50" w:rsidRDefault="004666FC">
            <w:pPr>
              <w:jc w:val="center"/>
            </w:pPr>
            <w:r>
              <w:rPr>
                <w:color w:val="000000"/>
                <w:sz w:val="16"/>
                <w:szCs w:val="16"/>
              </w:rPr>
              <w:t>$610K</w:t>
            </w:r>
          </w:p>
        </w:tc>
        <w:tc>
          <w:tcPr>
            <w:tcW w:w="1750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FEEC3D" w14:textId="77777777" w:rsidR="00076F50" w:rsidRDefault="004666FC">
            <w:pPr>
              <w:jc w:val="center"/>
            </w:pPr>
            <w:r>
              <w:rPr>
                <w:color w:val="000000"/>
                <w:sz w:val="16"/>
                <w:szCs w:val="16"/>
              </w:rPr>
              <w:t>16.0%</w:t>
            </w:r>
          </w:p>
        </w:tc>
        <w:tc>
          <w:tcPr>
            <w:tcW w:w="1750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B9A731" w14:textId="77777777" w:rsidR="00076F50" w:rsidRDefault="004666FC">
            <w:pPr>
              <w:jc w:val="center"/>
            </w:pPr>
            <w:r>
              <w:rPr>
                <w:color w:val="000000"/>
                <w:sz w:val="16"/>
                <w:szCs w:val="16"/>
              </w:rPr>
              <w:t>$98K</w:t>
            </w:r>
          </w:p>
        </w:tc>
        <w:tc>
          <w:tcPr>
            <w:tcW w:w="1750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4FE421" w14:textId="77777777" w:rsidR="00076F50" w:rsidRDefault="00076F50">
            <w:pPr>
              <w:jc w:val="center"/>
            </w:pPr>
          </w:p>
        </w:tc>
      </w:tr>
      <w:tr w:rsidR="00076F50" w14:paraId="437FF4FB" w14:textId="77777777">
        <w:tblPrEx>
          <w:tblCellMar>
            <w:top w:w="0" w:type="dxa"/>
            <w:bottom w:w="0" w:type="dxa"/>
          </w:tblCellMar>
        </w:tblPrEx>
        <w:tc>
          <w:tcPr>
            <w:tcW w:w="23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4B3ADB" w14:textId="77777777" w:rsidR="00076F50" w:rsidRDefault="004666FC">
            <w:proofErr w:type="spellStart"/>
            <w:r>
              <w:rPr>
                <w:b/>
                <w:bCs/>
                <w:color w:val="000000"/>
                <w:sz w:val="16"/>
                <w:szCs w:val="16"/>
              </w:rPr>
              <w:t>Attronica</w:t>
            </w:r>
            <w:proofErr w:type="spellEnd"/>
            <w:r>
              <w:rPr>
                <w:b/>
                <w:bCs/>
                <w:color w:val="000000"/>
                <w:sz w:val="16"/>
                <w:szCs w:val="16"/>
              </w:rPr>
              <w:t xml:space="preserve"> (FY2025)</w:t>
            </w:r>
          </w:p>
        </w:tc>
        <w:tc>
          <w:tcPr>
            <w:tcW w:w="17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1DBED2" w14:textId="77777777" w:rsidR="00076F50" w:rsidRDefault="004666FC">
            <w:pPr>
              <w:jc w:val="center"/>
            </w:pPr>
            <w:r>
              <w:rPr>
                <w:b/>
                <w:bCs/>
                <w:color w:val="000000"/>
                <w:sz w:val="16"/>
                <w:szCs w:val="16"/>
              </w:rPr>
              <w:t>~$761K-$790K</w:t>
            </w:r>
          </w:p>
        </w:tc>
        <w:tc>
          <w:tcPr>
            <w:tcW w:w="17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2E6144" w14:textId="77777777" w:rsidR="00076F50" w:rsidRDefault="004666FC">
            <w:pPr>
              <w:jc w:val="center"/>
            </w:pPr>
            <w:r>
              <w:rPr>
                <w:b/>
                <w:bCs/>
                <w:color w:val="000000"/>
                <w:sz w:val="16"/>
                <w:szCs w:val="16"/>
              </w:rPr>
              <w:t>14.2%</w:t>
            </w:r>
          </w:p>
        </w:tc>
        <w:tc>
          <w:tcPr>
            <w:tcW w:w="17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566BE2" w14:textId="77777777" w:rsidR="00076F50" w:rsidRDefault="004666FC">
            <w:pPr>
              <w:jc w:val="center"/>
            </w:pPr>
            <w:r>
              <w:rPr>
                <w:b/>
                <w:bCs/>
                <w:color w:val="000000"/>
                <w:sz w:val="16"/>
                <w:szCs w:val="16"/>
              </w:rPr>
              <w:t>$108K-$111K</w:t>
            </w:r>
          </w:p>
        </w:tc>
        <w:tc>
          <w:tcPr>
            <w:tcW w:w="17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759273" w14:textId="77777777" w:rsidR="00076F50" w:rsidRDefault="00076F50">
            <w:pPr>
              <w:jc w:val="center"/>
            </w:pPr>
          </w:p>
        </w:tc>
      </w:tr>
    </w:tbl>
    <w:p w14:paraId="1EE62BA9" w14:textId="77777777" w:rsidR="00076F50" w:rsidRDefault="004666FC">
      <w:pPr>
        <w:pBdr>
          <w:top w:val="single" w:sz="4" w:space="4" w:color="AAAAAA"/>
        </w:pBdr>
        <w:spacing w:before="100"/>
      </w:pPr>
      <w:r>
        <w:rPr>
          <w:i/>
          <w:iCs/>
          <w:color w:val="666666"/>
          <w:sz w:val="13"/>
          <w:szCs w:val="13"/>
        </w:rPr>
        <w:t xml:space="preserve">Source: Cost Drivers tab, </w:t>
      </w:r>
      <w:proofErr w:type="spellStart"/>
      <w:r>
        <w:rPr>
          <w:i/>
          <w:iCs/>
          <w:color w:val="666666"/>
          <w:sz w:val="13"/>
          <w:szCs w:val="13"/>
        </w:rPr>
        <w:t>Attronica</w:t>
      </w:r>
      <w:proofErr w:type="spellEnd"/>
      <w:r>
        <w:rPr>
          <w:i/>
          <w:iCs/>
          <w:color w:val="666666"/>
          <w:sz w:val="13"/>
          <w:szCs w:val="13"/>
        </w:rPr>
        <w:t xml:space="preserve"> financial model (audited FY22-25 + monthly </w:t>
      </w:r>
      <w:proofErr w:type="spellStart"/>
      <w:r>
        <w:rPr>
          <w:i/>
          <w:iCs/>
          <w:color w:val="666666"/>
          <w:sz w:val="13"/>
          <w:szCs w:val="13"/>
        </w:rPr>
        <w:t>mgmt</w:t>
      </w:r>
      <w:proofErr w:type="spellEnd"/>
      <w:r>
        <w:rPr>
          <w:i/>
          <w:iCs/>
          <w:color w:val="666666"/>
          <w:sz w:val="13"/>
          <w:szCs w:val="13"/>
        </w:rPr>
        <w:t xml:space="preserve"> P&amp;Ls + by-employee </w:t>
      </w:r>
      <w:proofErr w:type="spellStart"/>
      <w:r>
        <w:rPr>
          <w:i/>
          <w:iCs/>
          <w:color w:val="666666"/>
          <w:sz w:val="13"/>
          <w:szCs w:val="13"/>
        </w:rPr>
        <w:t>labor</w:t>
      </w:r>
      <w:proofErr w:type="spellEnd"/>
      <w:r>
        <w:rPr>
          <w:i/>
          <w:iCs/>
          <w:color w:val="666666"/>
          <w:sz w:val="13"/>
          <w:szCs w:val="13"/>
        </w:rPr>
        <w:t xml:space="preserve"> data). Rev/employee ranges reflect two headcount conventions in the source model (flat 83 vs. FY25 actual 81); both bracket the same conclusion.</w:t>
      </w:r>
    </w:p>
    <w:p w14:paraId="7F25AA23" w14:textId="77777777" w:rsidR="00076F50" w:rsidRDefault="00076F50">
      <w:pPr>
        <w:spacing w:after="80"/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50"/>
      </w:tblGrid>
      <w:tr w:rsidR="00076F50" w14:paraId="224D6C63" w14:textId="77777777">
        <w:tblPrEx>
          <w:tblCellMar>
            <w:top w:w="0" w:type="dxa"/>
            <w:bottom w:w="0" w:type="dxa"/>
          </w:tblCellMar>
        </w:tblPrEx>
        <w:tc>
          <w:tcPr>
            <w:tcW w:w="9350" w:type="dxa"/>
            <w:shd w:val="clear" w:color="auto" w:fill="FFF3CD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62FD064F" w14:textId="77777777" w:rsidR="00076F50" w:rsidRDefault="004666FC">
            <w:pPr>
              <w:spacing w:after="60"/>
            </w:pPr>
            <w:r>
              <w:rPr>
                <w:b/>
                <w:bCs/>
                <w:color w:val="1F3864"/>
              </w:rPr>
              <w:t>WORKING CAPITAL FLAG</w:t>
            </w:r>
          </w:p>
          <w:p w14:paraId="1FE7FFCF" w14:textId="77777777" w:rsidR="00076F50" w:rsidRDefault="004666FC">
            <w:pPr>
              <w:spacing w:after="30"/>
            </w:pPr>
            <w:r>
              <w:rPr>
                <w:sz w:val="17"/>
                <w:szCs w:val="17"/>
              </w:rPr>
              <w:t xml:space="preserve">Days of inventory outstanding sits at 76 days FY2025 (ending-inventory basis, consistent with the peer-band comparison) — inside the </w:t>
            </w:r>
            <w:proofErr w:type="gramStart"/>
            <w:r>
              <w:rPr>
                <w:sz w:val="17"/>
                <w:szCs w:val="17"/>
              </w:rPr>
              <w:t>50-80 day</w:t>
            </w:r>
            <w:proofErr w:type="gramEnd"/>
            <w:r>
              <w:rPr>
                <w:sz w:val="17"/>
                <w:szCs w:val="17"/>
              </w:rPr>
              <w:t xml:space="preserve"> band, but near the top of it — and floor-plan debt runs 107% of book inventory, so the Wells Fargo CDF facility, not internally generated cash, carries the stock. Note: a separate average-inventory turnover calc elsewhere in the model reads ~57 days; both are correctly computed, they just use different inventory conventions, and 76 days is the one comparable to the peer band cited here.</w:t>
            </w:r>
          </w:p>
        </w:tc>
      </w:tr>
    </w:tbl>
    <w:p w14:paraId="0F43D0AF" w14:textId="77777777" w:rsidR="00076F50" w:rsidRDefault="00076F50">
      <w:pPr>
        <w:sectPr w:rsidR="00076F50">
          <w:pgSz w:w="12240" w:h="15840"/>
          <w:pgMar w:top="720" w:right="720" w:bottom="720" w:left="720" w:header="708" w:footer="708" w:gutter="0"/>
          <w:cols w:space="720"/>
          <w:docGrid w:linePitch="360"/>
        </w:sectPr>
      </w:pPr>
    </w:p>
    <w:p w14:paraId="37A97E53" w14:textId="77777777" w:rsidR="00076F50" w:rsidRDefault="004666FC">
      <w:pPr>
        <w:shd w:val="clear" w:color="auto" w:fill="1F3864"/>
        <w:spacing w:before="160" w:after="120"/>
      </w:pPr>
      <w:r>
        <w:rPr>
          <w:b/>
          <w:bCs/>
          <w:color w:val="FFFFFF"/>
          <w:spacing w:val="6"/>
          <w:sz w:val="22"/>
          <w:szCs w:val="22"/>
        </w:rPr>
        <w:lastRenderedPageBreak/>
        <w:t>THE LEVER: AV INTEGRATION</w:t>
      </w:r>
    </w:p>
    <w:p w14:paraId="7C600B31" w14:textId="77777777" w:rsidR="00076F50" w:rsidRDefault="004666FC">
      <w:pPr>
        <w:spacing w:before="160" w:after="80"/>
      </w:pPr>
      <w:r>
        <w:rPr>
          <w:b/>
          <w:bCs/>
          <w:color w:val="1F3864"/>
          <w:sz w:val="21"/>
          <w:szCs w:val="21"/>
        </w:rPr>
        <w:t>AV has crossed into structurally higher margin, on its own trajectory</w:t>
      </w:r>
    </w:p>
    <w:p w14:paraId="0B9A5D3A" w14:textId="77777777" w:rsidR="00076F50" w:rsidRDefault="004666FC">
      <w:pPr>
        <w:spacing w:after="120"/>
      </w:pPr>
      <w:r>
        <w:t>AV revenue grew from $2.3M (FY2020) to $5.0M (FY2025), a 16.6% CAGR against a consolidated business shrinking at -8.9%. The margin story is the more important one: AV gross margin stepped up from a 31-45% range in FY2020-2023 to 61-66% in FY2024-2025, reflecting a mix shift toward higher-spec integration work rather than a one-time event. AV operating income was negative in three of the last four years while the division built out its technician base, then turned solidly positive in FY2025 ($613K, a 12.2% o</w:t>
      </w:r>
      <w:r>
        <w:t>perating margin) once that headcount had a full year of sales behind it. AV is now roughly 8% of consolidated revenue but about 34% of consolidated gross profit.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50"/>
        <w:gridCol w:w="1400"/>
        <w:gridCol w:w="1400"/>
        <w:gridCol w:w="1400"/>
        <w:gridCol w:w="1400"/>
        <w:gridCol w:w="1400"/>
      </w:tblGrid>
      <w:tr w:rsidR="00076F50" w14:paraId="6431306A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350" w:type="dxa"/>
            <w:shd w:val="clear" w:color="auto" w:fill="1F3864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BF72874" w14:textId="77777777" w:rsidR="00076F50" w:rsidRDefault="004666FC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AV Division</w:t>
            </w:r>
          </w:p>
        </w:tc>
        <w:tc>
          <w:tcPr>
            <w:tcW w:w="1400" w:type="dxa"/>
            <w:shd w:val="clear" w:color="auto" w:fill="1F3864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D7AE54" w14:textId="77777777" w:rsidR="00076F50" w:rsidRDefault="004666FC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FY2020</w:t>
            </w:r>
          </w:p>
        </w:tc>
        <w:tc>
          <w:tcPr>
            <w:tcW w:w="1400" w:type="dxa"/>
            <w:shd w:val="clear" w:color="auto" w:fill="1F3864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478B3B" w14:textId="77777777" w:rsidR="00076F50" w:rsidRDefault="004666FC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FY2022</w:t>
            </w:r>
          </w:p>
        </w:tc>
        <w:tc>
          <w:tcPr>
            <w:tcW w:w="1400" w:type="dxa"/>
            <w:shd w:val="clear" w:color="auto" w:fill="1F3864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B5318C" w14:textId="77777777" w:rsidR="00076F50" w:rsidRDefault="004666FC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FY2023</w:t>
            </w:r>
          </w:p>
        </w:tc>
        <w:tc>
          <w:tcPr>
            <w:tcW w:w="1400" w:type="dxa"/>
            <w:shd w:val="clear" w:color="auto" w:fill="1F3864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3A9CE7" w14:textId="77777777" w:rsidR="00076F50" w:rsidRDefault="004666FC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FY2024</w:t>
            </w:r>
          </w:p>
        </w:tc>
        <w:tc>
          <w:tcPr>
            <w:tcW w:w="1400" w:type="dxa"/>
            <w:shd w:val="clear" w:color="auto" w:fill="1F3864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A229FA" w14:textId="77777777" w:rsidR="00076F50" w:rsidRDefault="004666FC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FY2025</w:t>
            </w:r>
          </w:p>
        </w:tc>
      </w:tr>
      <w:tr w:rsidR="00076F50" w14:paraId="0F05DC8C" w14:textId="77777777">
        <w:tblPrEx>
          <w:tblCellMar>
            <w:top w:w="0" w:type="dxa"/>
            <w:bottom w:w="0" w:type="dxa"/>
          </w:tblCellMar>
        </w:tblPrEx>
        <w:tc>
          <w:tcPr>
            <w:tcW w:w="23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1B2F1E" w14:textId="77777777" w:rsidR="00076F50" w:rsidRDefault="004666FC">
            <w:r>
              <w:rPr>
                <w:color w:val="000000"/>
                <w:sz w:val="16"/>
                <w:szCs w:val="16"/>
              </w:rPr>
              <w:t>Revenue</w:t>
            </w:r>
          </w:p>
        </w:tc>
        <w:tc>
          <w:tcPr>
            <w:tcW w:w="14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EB7F39" w14:textId="77777777" w:rsidR="00076F50" w:rsidRDefault="004666FC">
            <w:pPr>
              <w:jc w:val="center"/>
            </w:pPr>
            <w:r>
              <w:rPr>
                <w:color w:val="000000"/>
                <w:sz w:val="16"/>
                <w:szCs w:val="16"/>
              </w:rPr>
              <w:t>$2.3M</w:t>
            </w:r>
          </w:p>
        </w:tc>
        <w:tc>
          <w:tcPr>
            <w:tcW w:w="14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7C61B4" w14:textId="77777777" w:rsidR="00076F50" w:rsidRDefault="004666FC">
            <w:pPr>
              <w:jc w:val="center"/>
            </w:pPr>
            <w:r>
              <w:rPr>
                <w:color w:val="000000"/>
                <w:sz w:val="16"/>
                <w:szCs w:val="16"/>
              </w:rPr>
              <w:t>$2.7M</w:t>
            </w:r>
          </w:p>
        </w:tc>
        <w:tc>
          <w:tcPr>
            <w:tcW w:w="14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BD38D7" w14:textId="77777777" w:rsidR="00076F50" w:rsidRDefault="004666FC">
            <w:pPr>
              <w:jc w:val="center"/>
            </w:pPr>
            <w:r>
              <w:rPr>
                <w:color w:val="000000"/>
                <w:sz w:val="16"/>
                <w:szCs w:val="16"/>
              </w:rPr>
              <w:t>$1.9M</w:t>
            </w:r>
          </w:p>
        </w:tc>
        <w:tc>
          <w:tcPr>
            <w:tcW w:w="14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3A7316" w14:textId="77777777" w:rsidR="00076F50" w:rsidRDefault="004666FC">
            <w:pPr>
              <w:jc w:val="center"/>
            </w:pPr>
            <w:r>
              <w:rPr>
                <w:color w:val="000000"/>
                <w:sz w:val="16"/>
                <w:szCs w:val="16"/>
              </w:rPr>
              <w:t>$2.8M</w:t>
            </w:r>
          </w:p>
        </w:tc>
        <w:tc>
          <w:tcPr>
            <w:tcW w:w="14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5DEACF" w14:textId="77777777" w:rsidR="00076F50" w:rsidRDefault="004666FC">
            <w:pPr>
              <w:jc w:val="center"/>
            </w:pPr>
            <w:r>
              <w:rPr>
                <w:color w:val="000000"/>
                <w:sz w:val="16"/>
                <w:szCs w:val="16"/>
              </w:rPr>
              <w:t>$5.0M</w:t>
            </w:r>
          </w:p>
        </w:tc>
      </w:tr>
      <w:tr w:rsidR="00076F50" w14:paraId="73D20935" w14:textId="77777777">
        <w:tblPrEx>
          <w:tblCellMar>
            <w:top w:w="0" w:type="dxa"/>
            <w:bottom w:w="0" w:type="dxa"/>
          </w:tblCellMar>
        </w:tblPrEx>
        <w:tc>
          <w:tcPr>
            <w:tcW w:w="2350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EA9610" w14:textId="77777777" w:rsidR="00076F50" w:rsidRDefault="004666FC">
            <w:r>
              <w:rPr>
                <w:color w:val="000000"/>
                <w:sz w:val="16"/>
                <w:szCs w:val="16"/>
              </w:rPr>
              <w:t>Gross margin</w:t>
            </w:r>
          </w:p>
        </w:tc>
        <w:tc>
          <w:tcPr>
            <w:tcW w:w="1400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8BCE49" w14:textId="77777777" w:rsidR="00076F50" w:rsidRDefault="004666FC">
            <w:pPr>
              <w:jc w:val="center"/>
            </w:pPr>
            <w:r>
              <w:rPr>
                <w:color w:val="000000"/>
                <w:sz w:val="16"/>
                <w:szCs w:val="16"/>
              </w:rPr>
              <w:t>34.1%</w:t>
            </w:r>
          </w:p>
        </w:tc>
        <w:tc>
          <w:tcPr>
            <w:tcW w:w="1400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75A4B4" w14:textId="77777777" w:rsidR="00076F50" w:rsidRDefault="004666FC">
            <w:pPr>
              <w:jc w:val="center"/>
            </w:pPr>
            <w:r>
              <w:rPr>
                <w:color w:val="000000"/>
                <w:sz w:val="16"/>
                <w:szCs w:val="16"/>
              </w:rPr>
              <w:t>38.3%</w:t>
            </w:r>
          </w:p>
        </w:tc>
        <w:tc>
          <w:tcPr>
            <w:tcW w:w="1400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3C7398" w14:textId="77777777" w:rsidR="00076F50" w:rsidRDefault="004666FC">
            <w:pPr>
              <w:jc w:val="center"/>
            </w:pPr>
            <w:r>
              <w:rPr>
                <w:color w:val="000000"/>
                <w:sz w:val="16"/>
                <w:szCs w:val="16"/>
              </w:rPr>
              <w:t>44.8%</w:t>
            </w:r>
          </w:p>
        </w:tc>
        <w:tc>
          <w:tcPr>
            <w:tcW w:w="1400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2B5EC5" w14:textId="77777777" w:rsidR="00076F50" w:rsidRDefault="004666FC">
            <w:pPr>
              <w:jc w:val="center"/>
            </w:pPr>
            <w:r>
              <w:rPr>
                <w:color w:val="000000"/>
                <w:sz w:val="16"/>
                <w:szCs w:val="16"/>
              </w:rPr>
              <w:t>65.7%</w:t>
            </w:r>
          </w:p>
        </w:tc>
        <w:tc>
          <w:tcPr>
            <w:tcW w:w="1400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DF6928" w14:textId="77777777" w:rsidR="00076F50" w:rsidRDefault="004666FC">
            <w:pPr>
              <w:jc w:val="center"/>
            </w:pPr>
            <w:r>
              <w:rPr>
                <w:color w:val="000000"/>
                <w:sz w:val="16"/>
                <w:szCs w:val="16"/>
              </w:rPr>
              <w:t>61.1%</w:t>
            </w:r>
          </w:p>
        </w:tc>
      </w:tr>
      <w:tr w:rsidR="00076F50" w14:paraId="2507C3DA" w14:textId="77777777">
        <w:tblPrEx>
          <w:tblCellMar>
            <w:top w:w="0" w:type="dxa"/>
            <w:bottom w:w="0" w:type="dxa"/>
          </w:tblCellMar>
        </w:tblPrEx>
        <w:tc>
          <w:tcPr>
            <w:tcW w:w="23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B822D3" w14:textId="77777777" w:rsidR="00076F50" w:rsidRDefault="004666FC">
            <w:r>
              <w:rPr>
                <w:color w:val="000000"/>
                <w:sz w:val="16"/>
                <w:szCs w:val="16"/>
              </w:rPr>
              <w:t>Operating margin</w:t>
            </w:r>
          </w:p>
        </w:tc>
        <w:tc>
          <w:tcPr>
            <w:tcW w:w="14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1CDA22" w14:textId="77777777" w:rsidR="00076F50" w:rsidRDefault="004666FC">
            <w:pPr>
              <w:jc w:val="center"/>
            </w:pPr>
            <w:r>
              <w:rPr>
                <w:color w:val="000000"/>
                <w:sz w:val="16"/>
                <w:szCs w:val="16"/>
              </w:rPr>
              <w:t>4.2%</w:t>
            </w:r>
          </w:p>
        </w:tc>
        <w:tc>
          <w:tcPr>
            <w:tcW w:w="14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E93040" w14:textId="77777777" w:rsidR="00076F50" w:rsidRDefault="004666FC">
            <w:pPr>
              <w:jc w:val="center"/>
            </w:pPr>
            <w:r>
              <w:rPr>
                <w:color w:val="000000"/>
                <w:sz w:val="16"/>
                <w:szCs w:val="16"/>
              </w:rPr>
              <w:t>-6.6%</w:t>
            </w:r>
          </w:p>
        </w:tc>
        <w:tc>
          <w:tcPr>
            <w:tcW w:w="14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ED08A6" w14:textId="77777777" w:rsidR="00076F50" w:rsidRDefault="004666FC">
            <w:pPr>
              <w:jc w:val="center"/>
            </w:pPr>
            <w:r>
              <w:rPr>
                <w:color w:val="000000"/>
                <w:sz w:val="16"/>
                <w:szCs w:val="16"/>
              </w:rPr>
              <w:t>-15.1%</w:t>
            </w:r>
          </w:p>
        </w:tc>
        <w:tc>
          <w:tcPr>
            <w:tcW w:w="14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71BCBE" w14:textId="77777777" w:rsidR="00076F50" w:rsidRDefault="004666FC">
            <w:pPr>
              <w:jc w:val="center"/>
            </w:pPr>
            <w:r>
              <w:rPr>
                <w:color w:val="000000"/>
                <w:sz w:val="16"/>
                <w:szCs w:val="16"/>
              </w:rPr>
              <w:t>-3.9%</w:t>
            </w:r>
          </w:p>
        </w:tc>
        <w:tc>
          <w:tcPr>
            <w:tcW w:w="14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62A95A" w14:textId="77777777" w:rsidR="00076F50" w:rsidRDefault="004666FC">
            <w:pPr>
              <w:jc w:val="center"/>
            </w:pPr>
            <w:r>
              <w:rPr>
                <w:color w:val="000000"/>
                <w:sz w:val="16"/>
                <w:szCs w:val="16"/>
              </w:rPr>
              <w:t>12.2%</w:t>
            </w:r>
          </w:p>
        </w:tc>
      </w:tr>
    </w:tbl>
    <w:p w14:paraId="35F15A16" w14:textId="77777777" w:rsidR="00076F50" w:rsidRDefault="004666FC">
      <w:pPr>
        <w:pBdr>
          <w:top w:val="single" w:sz="4" w:space="4" w:color="AAAAAA"/>
        </w:pBdr>
        <w:spacing w:before="100"/>
      </w:pPr>
      <w:r>
        <w:rPr>
          <w:i/>
          <w:iCs/>
          <w:color w:val="666666"/>
          <w:sz w:val="13"/>
          <w:szCs w:val="13"/>
        </w:rPr>
        <w:t xml:space="preserve">Source: AV Division Economics tab, </w:t>
      </w:r>
      <w:proofErr w:type="spellStart"/>
      <w:r>
        <w:rPr>
          <w:i/>
          <w:iCs/>
          <w:color w:val="666666"/>
          <w:sz w:val="13"/>
          <w:szCs w:val="13"/>
        </w:rPr>
        <w:t>Attronica</w:t>
      </w:r>
      <w:proofErr w:type="spellEnd"/>
      <w:r>
        <w:rPr>
          <w:i/>
          <w:iCs/>
          <w:color w:val="666666"/>
          <w:sz w:val="13"/>
          <w:szCs w:val="13"/>
        </w:rPr>
        <w:t xml:space="preserve"> financial model (SAGE AV P&amp;L export + employee </w:t>
      </w:r>
      <w:proofErr w:type="spellStart"/>
      <w:r>
        <w:rPr>
          <w:i/>
          <w:iCs/>
          <w:color w:val="666666"/>
          <w:sz w:val="13"/>
          <w:szCs w:val="13"/>
        </w:rPr>
        <w:t>labor</w:t>
      </w:r>
      <w:proofErr w:type="spellEnd"/>
      <w:r>
        <w:rPr>
          <w:i/>
          <w:iCs/>
          <w:color w:val="666666"/>
          <w:sz w:val="13"/>
          <w:szCs w:val="13"/>
        </w:rPr>
        <w:t xml:space="preserve"> detail, hybrid allocation).</w:t>
      </w:r>
    </w:p>
    <w:p w14:paraId="0719DA4F" w14:textId="77777777" w:rsidR="00076F50" w:rsidRDefault="004666FC">
      <w:pPr>
        <w:spacing w:before="160" w:after="80"/>
      </w:pPr>
      <w:r>
        <w:rPr>
          <w:b/>
          <w:bCs/>
          <w:color w:val="1F3864"/>
          <w:sz w:val="21"/>
          <w:szCs w:val="21"/>
        </w:rPr>
        <w:t>A Base-case growth plan is feasible without new hires straining margin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50"/>
        <w:gridCol w:w="2000"/>
        <w:gridCol w:w="2000"/>
        <w:gridCol w:w="2000"/>
      </w:tblGrid>
      <w:tr w:rsidR="00076F50" w14:paraId="07BDD11D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350" w:type="dxa"/>
            <w:shd w:val="clear" w:color="auto" w:fill="1F3864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D8B3C9" w14:textId="77777777" w:rsidR="00076F50" w:rsidRDefault="004666FC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FY2026E Scenario</w:t>
            </w:r>
          </w:p>
        </w:tc>
        <w:tc>
          <w:tcPr>
            <w:tcW w:w="2000" w:type="dxa"/>
            <w:shd w:val="clear" w:color="auto" w:fill="1F3864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75EA81" w14:textId="77777777" w:rsidR="00076F50" w:rsidRDefault="004666FC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Low (4%)</w:t>
            </w:r>
          </w:p>
        </w:tc>
        <w:tc>
          <w:tcPr>
            <w:tcW w:w="2000" w:type="dxa"/>
            <w:shd w:val="clear" w:color="auto" w:fill="1F3864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B23173" w14:textId="77777777" w:rsidR="00076F50" w:rsidRDefault="004666FC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Base (9%)</w:t>
            </w:r>
          </w:p>
        </w:tc>
        <w:tc>
          <w:tcPr>
            <w:tcW w:w="2000" w:type="dxa"/>
            <w:shd w:val="clear" w:color="auto" w:fill="1F3864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1FF9C6" w14:textId="77777777" w:rsidR="00076F50" w:rsidRDefault="004666FC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High (14%)</w:t>
            </w:r>
          </w:p>
        </w:tc>
      </w:tr>
      <w:tr w:rsidR="00076F50" w14:paraId="45327967" w14:textId="77777777">
        <w:tblPrEx>
          <w:tblCellMar>
            <w:top w:w="0" w:type="dxa"/>
            <w:bottom w:w="0" w:type="dxa"/>
          </w:tblCellMar>
        </w:tblPrEx>
        <w:tc>
          <w:tcPr>
            <w:tcW w:w="33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0BF125" w14:textId="77777777" w:rsidR="00076F50" w:rsidRDefault="004666FC">
            <w:r>
              <w:rPr>
                <w:color w:val="000000"/>
                <w:sz w:val="16"/>
                <w:szCs w:val="16"/>
              </w:rPr>
              <w:t>Incremental revenue</w:t>
            </w:r>
          </w:p>
        </w:tc>
        <w:tc>
          <w:tcPr>
            <w:tcW w:w="20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D2EE758" w14:textId="77777777" w:rsidR="00076F50" w:rsidRDefault="004666FC">
            <w:pPr>
              <w:jc w:val="center"/>
            </w:pPr>
            <w:r>
              <w:rPr>
                <w:color w:val="000000"/>
                <w:sz w:val="16"/>
                <w:szCs w:val="16"/>
              </w:rPr>
              <w:t>$201K</w:t>
            </w:r>
          </w:p>
        </w:tc>
        <w:tc>
          <w:tcPr>
            <w:tcW w:w="20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6DD8B6" w14:textId="77777777" w:rsidR="00076F50" w:rsidRDefault="004666FC">
            <w:pPr>
              <w:jc w:val="center"/>
            </w:pPr>
            <w:r>
              <w:rPr>
                <w:color w:val="000000"/>
                <w:sz w:val="16"/>
                <w:szCs w:val="16"/>
              </w:rPr>
              <w:t>$453K</w:t>
            </w:r>
          </w:p>
        </w:tc>
        <w:tc>
          <w:tcPr>
            <w:tcW w:w="20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1F8B5F" w14:textId="77777777" w:rsidR="00076F50" w:rsidRDefault="004666FC">
            <w:pPr>
              <w:jc w:val="center"/>
            </w:pPr>
            <w:r>
              <w:rPr>
                <w:color w:val="000000"/>
                <w:sz w:val="16"/>
                <w:szCs w:val="16"/>
              </w:rPr>
              <w:t>$705K</w:t>
            </w:r>
          </w:p>
        </w:tc>
      </w:tr>
      <w:tr w:rsidR="00076F50" w14:paraId="730AD538" w14:textId="77777777">
        <w:tblPrEx>
          <w:tblCellMar>
            <w:top w:w="0" w:type="dxa"/>
            <w:bottom w:w="0" w:type="dxa"/>
          </w:tblCellMar>
        </w:tblPrEx>
        <w:tc>
          <w:tcPr>
            <w:tcW w:w="3350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683F9B" w14:textId="77777777" w:rsidR="00076F50" w:rsidRDefault="004666FC">
            <w:r>
              <w:rPr>
                <w:color w:val="000000"/>
                <w:sz w:val="16"/>
                <w:szCs w:val="16"/>
              </w:rPr>
              <w:t>New hires needed</w:t>
            </w:r>
          </w:p>
        </w:tc>
        <w:tc>
          <w:tcPr>
            <w:tcW w:w="2000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5CF953" w14:textId="77777777" w:rsidR="00076F50" w:rsidRDefault="004666FC">
            <w:pPr>
              <w:jc w:val="center"/>
            </w:pPr>
            <w:r>
              <w:rPr>
                <w:color w:val="000000"/>
                <w:sz w:val="16"/>
                <w:szCs w:val="16"/>
              </w:rPr>
              <w:t>0-1</w:t>
            </w:r>
          </w:p>
        </w:tc>
        <w:tc>
          <w:tcPr>
            <w:tcW w:w="2000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D59ABA" w14:textId="77777777" w:rsidR="00076F50" w:rsidRDefault="004666FC">
            <w:pPr>
              <w:jc w:val="center"/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000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9DA68B" w14:textId="77777777" w:rsidR="00076F50" w:rsidRDefault="004666FC">
            <w:pPr>
              <w:jc w:val="center"/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</w:tr>
      <w:tr w:rsidR="00076F50" w14:paraId="297E17D3" w14:textId="77777777">
        <w:tblPrEx>
          <w:tblCellMar>
            <w:top w:w="0" w:type="dxa"/>
            <w:bottom w:w="0" w:type="dxa"/>
          </w:tblCellMar>
        </w:tblPrEx>
        <w:tc>
          <w:tcPr>
            <w:tcW w:w="33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A2C46D" w14:textId="77777777" w:rsidR="00076F50" w:rsidRDefault="004666FC">
            <w:r>
              <w:rPr>
                <w:color w:val="000000"/>
                <w:sz w:val="16"/>
                <w:szCs w:val="16"/>
              </w:rPr>
              <w:t>Incremental operating income</w:t>
            </w:r>
          </w:p>
        </w:tc>
        <w:tc>
          <w:tcPr>
            <w:tcW w:w="20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563F78" w14:textId="77777777" w:rsidR="00076F50" w:rsidRDefault="004666FC">
            <w:pPr>
              <w:jc w:val="center"/>
            </w:pPr>
            <w:r>
              <w:rPr>
                <w:color w:val="000000"/>
                <w:sz w:val="16"/>
                <w:szCs w:val="16"/>
              </w:rPr>
              <w:t>$31K</w:t>
            </w:r>
          </w:p>
        </w:tc>
        <w:tc>
          <w:tcPr>
            <w:tcW w:w="20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CDCF6F" w14:textId="77777777" w:rsidR="00076F50" w:rsidRDefault="004666FC">
            <w:pPr>
              <w:jc w:val="center"/>
            </w:pPr>
            <w:r>
              <w:rPr>
                <w:color w:val="000000"/>
                <w:sz w:val="16"/>
                <w:szCs w:val="16"/>
              </w:rPr>
              <w:t>$93K</w:t>
            </w:r>
          </w:p>
        </w:tc>
        <w:tc>
          <w:tcPr>
            <w:tcW w:w="20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9BCFC2" w14:textId="77777777" w:rsidR="00076F50" w:rsidRDefault="004666FC">
            <w:pPr>
              <w:jc w:val="center"/>
            </w:pPr>
            <w:r>
              <w:rPr>
                <w:color w:val="000000"/>
                <w:sz w:val="16"/>
                <w:szCs w:val="16"/>
              </w:rPr>
              <w:t>$155K</w:t>
            </w:r>
          </w:p>
        </w:tc>
      </w:tr>
      <w:tr w:rsidR="00076F50" w14:paraId="783A4C59" w14:textId="77777777">
        <w:tblPrEx>
          <w:tblCellMar>
            <w:top w:w="0" w:type="dxa"/>
            <w:bottom w:w="0" w:type="dxa"/>
          </w:tblCellMar>
        </w:tblPrEx>
        <w:tc>
          <w:tcPr>
            <w:tcW w:w="3350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64C507" w14:textId="77777777" w:rsidR="00076F50" w:rsidRDefault="004666FC">
            <w:r>
              <w:rPr>
                <w:b/>
                <w:bCs/>
                <w:color w:val="000000"/>
                <w:sz w:val="16"/>
                <w:szCs w:val="16"/>
              </w:rPr>
              <w:t>Feasibility</w:t>
            </w:r>
          </w:p>
        </w:tc>
        <w:tc>
          <w:tcPr>
            <w:tcW w:w="2000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E79367" w14:textId="77777777" w:rsidR="00076F50" w:rsidRDefault="004666FC">
            <w:pPr>
              <w:jc w:val="center"/>
            </w:pPr>
            <w:r>
              <w:rPr>
                <w:b/>
                <w:bCs/>
                <w:color w:val="000000"/>
                <w:sz w:val="16"/>
                <w:szCs w:val="16"/>
              </w:rPr>
              <w:t>Feasible</w:t>
            </w:r>
          </w:p>
        </w:tc>
        <w:tc>
          <w:tcPr>
            <w:tcW w:w="2000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0ECBE9" w14:textId="77777777" w:rsidR="00076F50" w:rsidRDefault="004666FC">
            <w:pPr>
              <w:jc w:val="center"/>
            </w:pPr>
            <w:r>
              <w:rPr>
                <w:b/>
                <w:bCs/>
                <w:color w:val="000000"/>
                <w:sz w:val="16"/>
                <w:szCs w:val="16"/>
              </w:rPr>
              <w:t>Feasible</w:t>
            </w:r>
          </w:p>
        </w:tc>
        <w:tc>
          <w:tcPr>
            <w:tcW w:w="2000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B155ED" w14:textId="77777777" w:rsidR="00076F50" w:rsidRDefault="004666FC">
            <w:pPr>
              <w:jc w:val="center"/>
            </w:pPr>
            <w:r>
              <w:rPr>
                <w:b/>
                <w:bCs/>
                <w:color w:val="000000"/>
                <w:sz w:val="16"/>
                <w:szCs w:val="16"/>
              </w:rPr>
              <w:t>Marginal</w:t>
            </w:r>
          </w:p>
        </w:tc>
      </w:tr>
    </w:tbl>
    <w:p w14:paraId="6F8FE558" w14:textId="77777777" w:rsidR="00076F50" w:rsidRDefault="004666FC">
      <w:pPr>
        <w:pBdr>
          <w:top w:val="single" w:sz="4" w:space="4" w:color="AAAAAA"/>
        </w:pBdr>
        <w:spacing w:before="100"/>
      </w:pPr>
      <w:r>
        <w:rPr>
          <w:i/>
          <w:iCs/>
          <w:color w:val="666666"/>
          <w:sz w:val="13"/>
          <w:szCs w:val="13"/>
        </w:rPr>
        <w:t>Source: Growth Feasibility tab. Base assumes ~2x AVIXA sector CAGR plus gov/</w:t>
      </w:r>
      <w:proofErr w:type="spellStart"/>
      <w:r>
        <w:rPr>
          <w:i/>
          <w:iCs/>
          <w:color w:val="666666"/>
          <w:sz w:val="13"/>
          <w:szCs w:val="13"/>
        </w:rPr>
        <w:t>edu</w:t>
      </w:r>
      <w:proofErr w:type="spellEnd"/>
      <w:r>
        <w:rPr>
          <w:i/>
          <w:iCs/>
          <w:color w:val="666666"/>
          <w:sz w:val="13"/>
          <w:szCs w:val="13"/>
        </w:rPr>
        <w:t xml:space="preserve"> tailwind; loaded cost per hire $91.8K (median AV tech x 1.35 burden); incremental COGS held at 39% of revenue.</w:t>
      </w:r>
    </w:p>
    <w:p w14:paraId="7E5E5A46" w14:textId="77777777" w:rsidR="00076F50" w:rsidRDefault="004666FC">
      <w:pPr>
        <w:spacing w:before="160" w:after="80"/>
      </w:pPr>
      <w:r>
        <w:rPr>
          <w:b/>
          <w:bCs/>
          <w:color w:val="1F3864"/>
          <w:sz w:val="21"/>
          <w:szCs w:val="21"/>
        </w:rPr>
        <w:t>The Base case is self-funded</w:t>
      </w:r>
    </w:p>
    <w:p w14:paraId="04BA32A2" w14:textId="77777777" w:rsidR="00076F50" w:rsidRDefault="004666FC">
      <w:pPr>
        <w:spacing w:after="100"/>
      </w:pPr>
      <w:r>
        <w:t xml:space="preserve">FY2025 cash available for reinvestment, after interest and owner distributions, was $644K. The Base-case growth plan needs $288K-$340K (incremental </w:t>
      </w:r>
      <w:proofErr w:type="spellStart"/>
      <w:r>
        <w:t>labor</w:t>
      </w:r>
      <w:proofErr w:type="spellEnd"/>
      <w:r>
        <w:t xml:space="preserve"> plus AR/WIP working capital), depending on whether non-</w:t>
      </w:r>
      <w:proofErr w:type="spellStart"/>
      <w:r>
        <w:t>labor</w:t>
      </w:r>
      <w:proofErr w:type="spellEnd"/>
      <w:r>
        <w:t xml:space="preserve"> </w:t>
      </w:r>
      <w:proofErr w:type="spellStart"/>
      <w:r>
        <w:t>opex</w:t>
      </w:r>
      <w:proofErr w:type="spellEnd"/>
      <w:r>
        <w:t xml:space="preserve"> is included. That leaves $300K-$356K of headroom without touching debt capacity or owner distributions.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50"/>
        <w:gridCol w:w="1450"/>
        <w:gridCol w:w="1450"/>
        <w:gridCol w:w="1450"/>
        <w:gridCol w:w="1450"/>
      </w:tblGrid>
      <w:tr w:rsidR="00076F50" w14:paraId="3862A273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550" w:type="dxa"/>
            <w:shd w:val="clear" w:color="auto" w:fill="1F3864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35266C" w14:textId="77777777" w:rsidR="00076F50" w:rsidRDefault="004666FC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EBIDA Waterfall (Consolidated)</w:t>
            </w:r>
          </w:p>
        </w:tc>
        <w:tc>
          <w:tcPr>
            <w:tcW w:w="1450" w:type="dxa"/>
            <w:shd w:val="clear" w:color="auto" w:fill="1F3864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0FF890" w14:textId="77777777" w:rsidR="00076F50" w:rsidRDefault="004666FC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FY2023</w:t>
            </w:r>
          </w:p>
        </w:tc>
        <w:tc>
          <w:tcPr>
            <w:tcW w:w="1450" w:type="dxa"/>
            <w:shd w:val="clear" w:color="auto" w:fill="1F3864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BFABEB" w14:textId="77777777" w:rsidR="00076F50" w:rsidRDefault="004666FC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FY2024</w:t>
            </w:r>
          </w:p>
        </w:tc>
        <w:tc>
          <w:tcPr>
            <w:tcW w:w="1450" w:type="dxa"/>
            <w:shd w:val="clear" w:color="auto" w:fill="1F3864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3316BC" w14:textId="77777777" w:rsidR="00076F50" w:rsidRDefault="004666FC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FY2025</w:t>
            </w:r>
          </w:p>
        </w:tc>
        <w:tc>
          <w:tcPr>
            <w:tcW w:w="1450" w:type="dxa"/>
            <w:shd w:val="clear" w:color="auto" w:fill="1F3864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FC0543" w14:textId="77777777" w:rsidR="00076F50" w:rsidRDefault="004666FC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FY2026E</w:t>
            </w:r>
          </w:p>
        </w:tc>
      </w:tr>
      <w:tr w:rsidR="00076F50" w14:paraId="774E731F" w14:textId="77777777">
        <w:tblPrEx>
          <w:tblCellMar>
            <w:top w:w="0" w:type="dxa"/>
            <w:bottom w:w="0" w:type="dxa"/>
          </w:tblCellMar>
        </w:tblPrEx>
        <w:tc>
          <w:tcPr>
            <w:tcW w:w="35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AFED7B7" w14:textId="77777777" w:rsidR="00076F50" w:rsidRDefault="004666FC">
            <w:r>
              <w:rPr>
                <w:color w:val="000000"/>
                <w:sz w:val="16"/>
                <w:szCs w:val="16"/>
              </w:rPr>
              <w:t>EBIDA (Op. income + D&amp;A)</w:t>
            </w:r>
          </w:p>
        </w:tc>
        <w:tc>
          <w:tcPr>
            <w:tcW w:w="14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A65B53" w14:textId="77777777" w:rsidR="00076F50" w:rsidRDefault="004666FC">
            <w:pPr>
              <w:jc w:val="center"/>
            </w:pPr>
            <w:r>
              <w:rPr>
                <w:color w:val="000000"/>
                <w:sz w:val="16"/>
                <w:szCs w:val="16"/>
              </w:rPr>
              <w:t>$2.19M</w:t>
            </w:r>
          </w:p>
        </w:tc>
        <w:tc>
          <w:tcPr>
            <w:tcW w:w="14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0A62CE" w14:textId="77777777" w:rsidR="00076F50" w:rsidRDefault="004666FC">
            <w:pPr>
              <w:jc w:val="center"/>
            </w:pPr>
            <w:r>
              <w:rPr>
                <w:color w:val="000000"/>
                <w:sz w:val="16"/>
                <w:szCs w:val="16"/>
              </w:rPr>
              <w:t>$1.66M</w:t>
            </w:r>
          </w:p>
        </w:tc>
        <w:tc>
          <w:tcPr>
            <w:tcW w:w="14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7D6900" w14:textId="77777777" w:rsidR="00076F50" w:rsidRDefault="004666FC">
            <w:pPr>
              <w:jc w:val="center"/>
            </w:pPr>
            <w:r>
              <w:rPr>
                <w:color w:val="000000"/>
                <w:sz w:val="16"/>
                <w:szCs w:val="16"/>
              </w:rPr>
              <w:t>$1.56M</w:t>
            </w:r>
          </w:p>
        </w:tc>
        <w:tc>
          <w:tcPr>
            <w:tcW w:w="14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3221FB" w14:textId="77777777" w:rsidR="00076F50" w:rsidRDefault="004666FC">
            <w:pPr>
              <w:jc w:val="center"/>
            </w:pPr>
            <w:r>
              <w:rPr>
                <w:color w:val="000000"/>
                <w:sz w:val="16"/>
                <w:szCs w:val="16"/>
              </w:rPr>
              <w:t>$1.63M</w:t>
            </w:r>
          </w:p>
        </w:tc>
      </w:tr>
      <w:tr w:rsidR="00076F50" w14:paraId="44B4BD7F" w14:textId="77777777">
        <w:tblPrEx>
          <w:tblCellMar>
            <w:top w:w="0" w:type="dxa"/>
            <w:bottom w:w="0" w:type="dxa"/>
          </w:tblCellMar>
        </w:tblPrEx>
        <w:tc>
          <w:tcPr>
            <w:tcW w:w="3550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A35D68" w14:textId="77777777" w:rsidR="00076F50" w:rsidRDefault="004666FC">
            <w:r>
              <w:rPr>
                <w:color w:val="000000"/>
                <w:sz w:val="16"/>
                <w:szCs w:val="16"/>
              </w:rPr>
              <w:t>Less: interest expense</w:t>
            </w:r>
          </w:p>
        </w:tc>
        <w:tc>
          <w:tcPr>
            <w:tcW w:w="1450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431D0B" w14:textId="77777777" w:rsidR="00076F50" w:rsidRDefault="004666FC">
            <w:pPr>
              <w:jc w:val="center"/>
            </w:pPr>
            <w:r>
              <w:rPr>
                <w:color w:val="000000"/>
                <w:sz w:val="16"/>
                <w:szCs w:val="16"/>
              </w:rPr>
              <w:t>($1.01M)</w:t>
            </w:r>
          </w:p>
        </w:tc>
        <w:tc>
          <w:tcPr>
            <w:tcW w:w="1450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6BE2D07" w14:textId="77777777" w:rsidR="00076F50" w:rsidRDefault="004666FC">
            <w:pPr>
              <w:jc w:val="center"/>
            </w:pPr>
            <w:r>
              <w:rPr>
                <w:color w:val="000000"/>
                <w:sz w:val="16"/>
                <w:szCs w:val="16"/>
              </w:rPr>
              <w:t>($0.76M)</w:t>
            </w:r>
          </w:p>
        </w:tc>
        <w:tc>
          <w:tcPr>
            <w:tcW w:w="1450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D22D1A" w14:textId="77777777" w:rsidR="00076F50" w:rsidRDefault="004666FC">
            <w:pPr>
              <w:jc w:val="center"/>
            </w:pPr>
            <w:r>
              <w:rPr>
                <w:color w:val="000000"/>
                <w:sz w:val="16"/>
                <w:szCs w:val="16"/>
              </w:rPr>
              <w:t>($0.22M)</w:t>
            </w:r>
          </w:p>
        </w:tc>
        <w:tc>
          <w:tcPr>
            <w:tcW w:w="1450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1903D4" w14:textId="77777777" w:rsidR="00076F50" w:rsidRDefault="004666FC">
            <w:pPr>
              <w:jc w:val="center"/>
            </w:pPr>
            <w:r>
              <w:rPr>
                <w:color w:val="000000"/>
                <w:sz w:val="16"/>
                <w:szCs w:val="16"/>
              </w:rPr>
              <w:t>($0.22M)</w:t>
            </w:r>
          </w:p>
        </w:tc>
      </w:tr>
      <w:tr w:rsidR="00076F50" w14:paraId="06AC8D4C" w14:textId="77777777">
        <w:tblPrEx>
          <w:tblCellMar>
            <w:top w:w="0" w:type="dxa"/>
            <w:bottom w:w="0" w:type="dxa"/>
          </w:tblCellMar>
        </w:tblPrEx>
        <w:tc>
          <w:tcPr>
            <w:tcW w:w="35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4D6971D" w14:textId="77777777" w:rsidR="00076F50" w:rsidRDefault="004666FC">
            <w:r>
              <w:rPr>
                <w:color w:val="000000"/>
                <w:sz w:val="16"/>
                <w:szCs w:val="16"/>
              </w:rPr>
              <w:t>Less: owner distributions</w:t>
            </w:r>
          </w:p>
        </w:tc>
        <w:tc>
          <w:tcPr>
            <w:tcW w:w="14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70158B" w14:textId="77777777" w:rsidR="00076F50" w:rsidRDefault="004666FC">
            <w:pPr>
              <w:jc w:val="center"/>
            </w:pPr>
            <w:r>
              <w:rPr>
                <w:color w:val="000000"/>
                <w:sz w:val="16"/>
                <w:szCs w:val="16"/>
              </w:rPr>
              <w:t>($1.90M)</w:t>
            </w:r>
          </w:p>
        </w:tc>
        <w:tc>
          <w:tcPr>
            <w:tcW w:w="14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F73F73" w14:textId="77777777" w:rsidR="00076F50" w:rsidRDefault="004666FC">
            <w:pPr>
              <w:jc w:val="center"/>
            </w:pPr>
            <w:r>
              <w:rPr>
                <w:color w:val="000000"/>
                <w:sz w:val="16"/>
                <w:szCs w:val="16"/>
              </w:rPr>
              <w:t>($1.19M)</w:t>
            </w:r>
          </w:p>
        </w:tc>
        <w:tc>
          <w:tcPr>
            <w:tcW w:w="14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4A0355" w14:textId="77777777" w:rsidR="00076F50" w:rsidRDefault="004666FC">
            <w:pPr>
              <w:jc w:val="center"/>
            </w:pPr>
            <w:r>
              <w:rPr>
                <w:color w:val="000000"/>
                <w:sz w:val="16"/>
                <w:szCs w:val="16"/>
              </w:rPr>
              <w:t>($0.70M)</w:t>
            </w:r>
          </w:p>
        </w:tc>
        <w:tc>
          <w:tcPr>
            <w:tcW w:w="14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6EA494" w14:textId="77777777" w:rsidR="00076F50" w:rsidRDefault="004666FC">
            <w:pPr>
              <w:jc w:val="center"/>
            </w:pPr>
            <w:r>
              <w:rPr>
                <w:color w:val="000000"/>
                <w:sz w:val="16"/>
                <w:szCs w:val="16"/>
              </w:rPr>
              <w:t>($0.70M)</w:t>
            </w:r>
          </w:p>
        </w:tc>
      </w:tr>
      <w:tr w:rsidR="00076F50" w14:paraId="1827CCE2" w14:textId="77777777">
        <w:tblPrEx>
          <w:tblCellMar>
            <w:top w:w="0" w:type="dxa"/>
            <w:bottom w:w="0" w:type="dxa"/>
          </w:tblCellMar>
        </w:tblPrEx>
        <w:tc>
          <w:tcPr>
            <w:tcW w:w="3550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B553AF" w14:textId="77777777" w:rsidR="00076F50" w:rsidRDefault="004666FC">
            <w:r>
              <w:rPr>
                <w:b/>
                <w:bCs/>
                <w:color w:val="000000"/>
                <w:sz w:val="16"/>
                <w:szCs w:val="16"/>
              </w:rPr>
              <w:t>Cash available for reinvestment</w:t>
            </w:r>
          </w:p>
        </w:tc>
        <w:tc>
          <w:tcPr>
            <w:tcW w:w="1450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582774" w14:textId="77777777" w:rsidR="00076F50" w:rsidRDefault="004666FC">
            <w:pPr>
              <w:jc w:val="center"/>
            </w:pPr>
            <w:r>
              <w:rPr>
                <w:b/>
                <w:bCs/>
                <w:color w:val="000000"/>
                <w:sz w:val="16"/>
                <w:szCs w:val="16"/>
              </w:rPr>
              <w:t>($0.72M)</w:t>
            </w:r>
          </w:p>
        </w:tc>
        <w:tc>
          <w:tcPr>
            <w:tcW w:w="1450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EE86E6" w14:textId="77777777" w:rsidR="00076F50" w:rsidRDefault="004666FC">
            <w:pPr>
              <w:jc w:val="center"/>
            </w:pPr>
            <w:r>
              <w:rPr>
                <w:b/>
                <w:bCs/>
                <w:color w:val="000000"/>
                <w:sz w:val="16"/>
                <w:szCs w:val="16"/>
              </w:rPr>
              <w:t>($0.30M)</w:t>
            </w:r>
          </w:p>
        </w:tc>
        <w:tc>
          <w:tcPr>
            <w:tcW w:w="1450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BA05C3" w14:textId="77777777" w:rsidR="00076F50" w:rsidRDefault="004666FC">
            <w:pPr>
              <w:jc w:val="center"/>
            </w:pPr>
            <w:r>
              <w:rPr>
                <w:b/>
                <w:bCs/>
                <w:color w:val="000000"/>
                <w:sz w:val="16"/>
                <w:szCs w:val="16"/>
              </w:rPr>
              <w:t>$0.64M</w:t>
            </w:r>
          </w:p>
        </w:tc>
        <w:tc>
          <w:tcPr>
            <w:tcW w:w="1450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7BEC5E" w14:textId="77777777" w:rsidR="00076F50" w:rsidRDefault="004666FC">
            <w:pPr>
              <w:jc w:val="center"/>
            </w:pPr>
            <w:r>
              <w:rPr>
                <w:b/>
                <w:bCs/>
                <w:color w:val="000000"/>
                <w:sz w:val="16"/>
                <w:szCs w:val="16"/>
              </w:rPr>
              <w:t>$0.71M</w:t>
            </w:r>
          </w:p>
        </w:tc>
      </w:tr>
    </w:tbl>
    <w:p w14:paraId="49EBC1CF" w14:textId="77777777" w:rsidR="00076F50" w:rsidRDefault="004666FC">
      <w:pPr>
        <w:pBdr>
          <w:top w:val="single" w:sz="4" w:space="4" w:color="AAAAAA"/>
        </w:pBdr>
        <w:spacing w:before="100"/>
      </w:pPr>
      <w:r>
        <w:rPr>
          <w:i/>
          <w:iCs/>
          <w:color w:val="666666"/>
          <w:sz w:val="13"/>
          <w:szCs w:val="13"/>
        </w:rPr>
        <w:t>Source: Capital Allocation tab. FY2026E Op. income held roughly flat plus AV uplift; a placeholder pending a full FY26 consolidated forecast.</w:t>
      </w:r>
    </w:p>
    <w:p w14:paraId="7476F584" w14:textId="77777777" w:rsidR="00076F50" w:rsidRDefault="00076F50">
      <w:pPr>
        <w:spacing w:after="80"/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50"/>
      </w:tblGrid>
      <w:tr w:rsidR="00076F50" w14:paraId="26B99607" w14:textId="77777777">
        <w:tblPrEx>
          <w:tblCellMar>
            <w:top w:w="0" w:type="dxa"/>
            <w:bottom w:w="0" w:type="dxa"/>
          </w:tblCellMar>
        </w:tblPrEx>
        <w:tc>
          <w:tcPr>
            <w:tcW w:w="9350" w:type="dxa"/>
            <w:shd w:val="clear" w:color="auto" w:fill="FFF3CD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12B5C88F" w14:textId="77777777" w:rsidR="00076F50" w:rsidRDefault="004666FC">
            <w:pPr>
              <w:spacing w:after="60"/>
            </w:pPr>
            <w:r>
              <w:rPr>
                <w:b/>
                <w:bCs/>
                <w:color w:val="1F3864"/>
              </w:rPr>
              <w:t>A NOTE ON VALUATION</w:t>
            </w:r>
          </w:p>
          <w:p w14:paraId="62DBD650" w14:textId="77777777" w:rsidR="00076F50" w:rsidRDefault="004666FC">
            <w:pPr>
              <w:spacing w:after="30"/>
            </w:pPr>
            <w:r>
              <w:rPr>
                <w:sz w:val="17"/>
                <w:szCs w:val="17"/>
              </w:rPr>
              <w:t>This document is grounded in AV division economics and cash-funding capacity rather than an independent DCF or comps-derived enterprise value — that valuation cross-check has not yet been built out for the AV division specifically and isn't fabricated here. For a growth-vs-hold decision, funding capacity is the more decision-relevant number; a valuation workstream would matter most if a sale, recap, or PE transaction moves forward.</w:t>
            </w:r>
          </w:p>
        </w:tc>
      </w:tr>
    </w:tbl>
    <w:p w14:paraId="38BD51A7" w14:textId="77777777" w:rsidR="00076F50" w:rsidRDefault="00076F50">
      <w:pPr>
        <w:sectPr w:rsidR="00076F50">
          <w:pgSz w:w="12240" w:h="15840"/>
          <w:pgMar w:top="720" w:right="720" w:bottom="720" w:left="720" w:header="708" w:footer="708" w:gutter="0"/>
          <w:cols w:space="720"/>
          <w:docGrid w:linePitch="360"/>
        </w:sectPr>
      </w:pPr>
    </w:p>
    <w:p w14:paraId="51F2359B" w14:textId="77777777" w:rsidR="00076F50" w:rsidRDefault="004666FC">
      <w:pPr>
        <w:shd w:val="clear" w:color="auto" w:fill="1F3864"/>
        <w:spacing w:before="160" w:after="120"/>
      </w:pPr>
      <w:r>
        <w:rPr>
          <w:b/>
          <w:bCs/>
          <w:color w:val="FFFFFF"/>
          <w:spacing w:val="6"/>
          <w:sz w:val="22"/>
          <w:szCs w:val="22"/>
        </w:rPr>
        <w:lastRenderedPageBreak/>
        <w:t>THE CALL</w:t>
      </w:r>
    </w:p>
    <w:p w14:paraId="53FF4F27" w14:textId="77777777" w:rsidR="00076F50" w:rsidRDefault="004666FC">
      <w:pPr>
        <w:spacing w:before="160" w:after="80"/>
      </w:pPr>
      <w:r>
        <w:rPr>
          <w:b/>
          <w:bCs/>
          <w:color w:val="1F3864"/>
          <w:sz w:val="21"/>
          <w:szCs w:val="21"/>
        </w:rPr>
        <w:t>Six options, measured against what the numbers support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00"/>
        <w:gridCol w:w="4900"/>
        <w:gridCol w:w="2350"/>
      </w:tblGrid>
      <w:tr w:rsidR="00076F50" w14:paraId="2487CF34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100" w:type="dxa"/>
            <w:shd w:val="clear" w:color="auto" w:fill="1F3864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8C6ED4" w14:textId="77777777" w:rsidR="00076F50" w:rsidRDefault="004666FC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Option</w:t>
            </w:r>
          </w:p>
        </w:tc>
        <w:tc>
          <w:tcPr>
            <w:tcW w:w="4900" w:type="dxa"/>
            <w:shd w:val="clear" w:color="auto" w:fill="1F3864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845E76" w14:textId="77777777" w:rsidR="00076F50" w:rsidRDefault="004666FC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Fit given the numbers</w:t>
            </w:r>
          </w:p>
        </w:tc>
        <w:tc>
          <w:tcPr>
            <w:tcW w:w="2350" w:type="dxa"/>
            <w:shd w:val="clear" w:color="auto" w:fill="1F3864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28851F" w14:textId="77777777" w:rsidR="00076F50" w:rsidRDefault="004666FC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Verdict</w:t>
            </w:r>
          </w:p>
        </w:tc>
      </w:tr>
      <w:tr w:rsidR="00076F50" w14:paraId="48A5917F" w14:textId="77777777">
        <w:tblPrEx>
          <w:tblCellMar>
            <w:top w:w="0" w:type="dxa"/>
            <w:bottom w:w="0" w:type="dxa"/>
          </w:tblCellMar>
        </w:tblPrEx>
        <w:tc>
          <w:tcPr>
            <w:tcW w:w="2100" w:type="dxa"/>
            <w:shd w:val="clear" w:color="auto" w:fill="E2F0D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924C8AC" w14:textId="77777777" w:rsidR="00076F50" w:rsidRDefault="004666FC">
            <w:r>
              <w:rPr>
                <w:color w:val="000000"/>
                <w:sz w:val="16"/>
                <w:szCs w:val="16"/>
              </w:rPr>
              <w:t>Invest in growth (Base 9%)</w:t>
            </w:r>
          </w:p>
        </w:tc>
        <w:tc>
          <w:tcPr>
            <w:tcW w:w="4900" w:type="dxa"/>
            <w:shd w:val="clear" w:color="auto" w:fill="E2F0D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332C99" w14:textId="77777777" w:rsidR="00076F50" w:rsidRDefault="004666FC">
            <w:pPr>
              <w:jc w:val="center"/>
            </w:pPr>
            <w:r>
              <w:rPr>
                <w:color w:val="000000"/>
                <w:sz w:val="16"/>
                <w:szCs w:val="16"/>
              </w:rPr>
              <w:t>Self-funded from FY25 EBIDA surplus ($644K vs. ~$340K need); margin-accretive; AV already 34% of gross profit on 8% of revenue.</w:t>
            </w:r>
          </w:p>
        </w:tc>
        <w:tc>
          <w:tcPr>
            <w:tcW w:w="2350" w:type="dxa"/>
            <w:shd w:val="clear" w:color="auto" w:fill="E2F0D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42D9AD" w14:textId="77777777" w:rsidR="00076F50" w:rsidRDefault="004666FC">
            <w:pPr>
              <w:jc w:val="center"/>
            </w:pPr>
            <w:r>
              <w:rPr>
                <w:color w:val="000000"/>
                <w:sz w:val="16"/>
                <w:szCs w:val="16"/>
              </w:rPr>
              <w:t>RECOMMENDED</w:t>
            </w:r>
          </w:p>
        </w:tc>
      </w:tr>
      <w:tr w:rsidR="00076F50" w14:paraId="59B9CF33" w14:textId="77777777">
        <w:tblPrEx>
          <w:tblCellMar>
            <w:top w:w="0" w:type="dxa"/>
            <w:bottom w:w="0" w:type="dxa"/>
          </w:tblCellMar>
        </w:tblPrEx>
        <w:tc>
          <w:tcPr>
            <w:tcW w:w="21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CB9233" w14:textId="77777777" w:rsidR="00076F50" w:rsidRDefault="004666FC">
            <w:r>
              <w:rPr>
                <w:color w:val="000000"/>
                <w:sz w:val="16"/>
                <w:szCs w:val="16"/>
              </w:rPr>
              <w:t>Status quo</w:t>
            </w:r>
          </w:p>
        </w:tc>
        <w:tc>
          <w:tcPr>
            <w:tcW w:w="4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B478EF" w14:textId="77777777" w:rsidR="00076F50" w:rsidRDefault="004666FC">
            <w:pPr>
              <w:jc w:val="center"/>
            </w:pPr>
            <w:r>
              <w:rPr>
                <w:color w:val="000000"/>
                <w:sz w:val="16"/>
                <w:szCs w:val="16"/>
              </w:rPr>
              <w:t xml:space="preserve">Leaves the 82.7% SG&amp;A/gross-profit ratio and the ~35% </w:t>
            </w:r>
            <w:proofErr w:type="spellStart"/>
            <w:r>
              <w:rPr>
                <w:color w:val="000000"/>
                <w:sz w:val="16"/>
                <w:szCs w:val="16"/>
              </w:rPr>
              <w:t>Thermo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Fisher concentration unaddressed while the core business keeps contracting.</w:t>
            </w:r>
          </w:p>
        </w:tc>
        <w:tc>
          <w:tcPr>
            <w:tcW w:w="23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902A75" w14:textId="77777777" w:rsidR="00076F50" w:rsidRDefault="004666FC">
            <w:pPr>
              <w:jc w:val="center"/>
            </w:pPr>
            <w:r>
              <w:rPr>
                <w:color w:val="000000"/>
                <w:sz w:val="16"/>
                <w:szCs w:val="16"/>
              </w:rPr>
              <w:t>Not recommended</w:t>
            </w:r>
          </w:p>
        </w:tc>
      </w:tr>
      <w:tr w:rsidR="00076F50" w14:paraId="5BB069CF" w14:textId="77777777">
        <w:tblPrEx>
          <w:tblCellMar>
            <w:top w:w="0" w:type="dxa"/>
            <w:bottom w:w="0" w:type="dxa"/>
          </w:tblCellMar>
        </w:tblPrEx>
        <w:tc>
          <w:tcPr>
            <w:tcW w:w="2100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84ECBBE" w14:textId="77777777" w:rsidR="00076F50" w:rsidRDefault="004666FC">
            <w:r>
              <w:rPr>
                <w:color w:val="000000"/>
                <w:sz w:val="16"/>
                <w:szCs w:val="16"/>
              </w:rPr>
              <w:t>Acquire a competitor</w:t>
            </w:r>
          </w:p>
        </w:tc>
        <w:tc>
          <w:tcPr>
            <w:tcW w:w="4900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EB074D" w14:textId="77777777" w:rsidR="00076F50" w:rsidRDefault="004666FC">
            <w:pPr>
              <w:jc w:val="center"/>
            </w:pPr>
            <w:r>
              <w:rPr>
                <w:color w:val="000000"/>
                <w:sz w:val="16"/>
                <w:szCs w:val="16"/>
              </w:rPr>
              <w:t xml:space="preserve">No target or diligence data exists in the current file set; would likely require </w:t>
            </w:r>
            <w:proofErr w:type="gramStart"/>
            <w:r>
              <w:rPr>
                <w:color w:val="000000"/>
                <w:sz w:val="16"/>
                <w:szCs w:val="16"/>
              </w:rPr>
              <w:t>floor-plan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or term debt on top of already-elevated leverage (FY2025 D/E 2.8x, having ranged 1.3x-4.7x since FY2022).</w:t>
            </w:r>
          </w:p>
        </w:tc>
        <w:tc>
          <w:tcPr>
            <w:tcW w:w="2350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83CF32" w14:textId="77777777" w:rsidR="00076F50" w:rsidRDefault="004666FC">
            <w:pPr>
              <w:jc w:val="center"/>
            </w:pPr>
            <w:r>
              <w:rPr>
                <w:color w:val="000000"/>
                <w:sz w:val="16"/>
                <w:szCs w:val="16"/>
              </w:rPr>
              <w:t>Not supported by data on hand</w:t>
            </w:r>
          </w:p>
        </w:tc>
      </w:tr>
      <w:tr w:rsidR="00076F50" w14:paraId="6BC3CA51" w14:textId="77777777">
        <w:tblPrEx>
          <w:tblCellMar>
            <w:top w:w="0" w:type="dxa"/>
            <w:bottom w:w="0" w:type="dxa"/>
          </w:tblCellMar>
        </w:tblPrEx>
        <w:tc>
          <w:tcPr>
            <w:tcW w:w="21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D81055" w14:textId="77777777" w:rsidR="00076F50" w:rsidRDefault="004666FC">
            <w:r>
              <w:rPr>
                <w:color w:val="000000"/>
                <w:sz w:val="16"/>
                <w:szCs w:val="16"/>
              </w:rPr>
              <w:t>Recapitalize</w:t>
            </w:r>
          </w:p>
        </w:tc>
        <w:tc>
          <w:tcPr>
            <w:tcW w:w="4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F73B90" w14:textId="77777777" w:rsidR="00076F50" w:rsidRDefault="004666FC">
            <w:pPr>
              <w:jc w:val="center"/>
            </w:pPr>
            <w:r>
              <w:rPr>
                <w:color w:val="000000"/>
                <w:sz w:val="16"/>
                <w:szCs w:val="16"/>
              </w:rPr>
              <w:t>Unnecessary cost of capital: existing reinvestment capacity already exceeds the Base-case growth need without new debt or equity.</w:t>
            </w:r>
          </w:p>
        </w:tc>
        <w:tc>
          <w:tcPr>
            <w:tcW w:w="23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B4BD01" w14:textId="77777777" w:rsidR="00076F50" w:rsidRDefault="004666FC">
            <w:pPr>
              <w:jc w:val="center"/>
            </w:pPr>
            <w:r>
              <w:rPr>
                <w:color w:val="000000"/>
                <w:sz w:val="16"/>
                <w:szCs w:val="16"/>
              </w:rPr>
              <w:t>Not recommended now</w:t>
            </w:r>
          </w:p>
        </w:tc>
      </w:tr>
      <w:tr w:rsidR="00076F50" w14:paraId="57EBF157" w14:textId="77777777">
        <w:tblPrEx>
          <w:tblCellMar>
            <w:top w:w="0" w:type="dxa"/>
            <w:bottom w:w="0" w:type="dxa"/>
          </w:tblCellMar>
        </w:tblPrEx>
        <w:tc>
          <w:tcPr>
            <w:tcW w:w="2100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35887A" w14:textId="77777777" w:rsidR="00076F50" w:rsidRDefault="004666FC">
            <w:r>
              <w:rPr>
                <w:color w:val="000000"/>
                <w:sz w:val="16"/>
                <w:szCs w:val="16"/>
              </w:rPr>
              <w:t>Sell a minority stake to PE</w:t>
            </w:r>
          </w:p>
        </w:tc>
        <w:tc>
          <w:tcPr>
            <w:tcW w:w="4900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C17E53" w14:textId="77777777" w:rsidR="00076F50" w:rsidRDefault="004666FC">
            <w:pPr>
              <w:jc w:val="center"/>
            </w:pPr>
            <w:r>
              <w:rPr>
                <w:color w:val="000000"/>
                <w:sz w:val="16"/>
                <w:szCs w:val="16"/>
              </w:rPr>
              <w:t>Dilutes ownership for capital that isn't needed. AV's margin expansion is a two-year trend, not yet a proven multi-year track record to price a stake against.</w:t>
            </w:r>
          </w:p>
        </w:tc>
        <w:tc>
          <w:tcPr>
            <w:tcW w:w="2350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17ED00" w14:textId="77777777" w:rsidR="00076F50" w:rsidRDefault="004666FC">
            <w:pPr>
              <w:jc w:val="center"/>
            </w:pPr>
            <w:r>
              <w:rPr>
                <w:color w:val="000000"/>
                <w:sz w:val="16"/>
                <w:szCs w:val="16"/>
              </w:rPr>
              <w:t>Premature</w:t>
            </w:r>
          </w:p>
        </w:tc>
      </w:tr>
      <w:tr w:rsidR="00076F50" w14:paraId="40793DD8" w14:textId="77777777">
        <w:tblPrEx>
          <w:tblCellMar>
            <w:top w:w="0" w:type="dxa"/>
            <w:bottom w:w="0" w:type="dxa"/>
          </w:tblCellMar>
        </w:tblPrEx>
        <w:tc>
          <w:tcPr>
            <w:tcW w:w="21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96765E" w14:textId="77777777" w:rsidR="00076F50" w:rsidRDefault="004666FC">
            <w:r>
              <w:rPr>
                <w:color w:val="000000"/>
                <w:sz w:val="16"/>
                <w:szCs w:val="16"/>
              </w:rPr>
              <w:t>Sell to employees (ESOP)</w:t>
            </w:r>
          </w:p>
        </w:tc>
        <w:tc>
          <w:tcPr>
            <w:tcW w:w="4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47ACDE" w14:textId="77777777" w:rsidR="00076F50" w:rsidRDefault="004666FC">
            <w:pPr>
              <w:jc w:val="center"/>
            </w:pPr>
            <w:r>
              <w:rPr>
                <w:color w:val="000000"/>
                <w:sz w:val="16"/>
                <w:szCs w:val="16"/>
              </w:rPr>
              <w:t xml:space="preserve">A legitimate long-term ownership-transition </w:t>
            </w:r>
            <w:proofErr w:type="gramStart"/>
            <w:r>
              <w:rPr>
                <w:color w:val="000000"/>
                <w:sz w:val="16"/>
                <w:szCs w:val="16"/>
              </w:rPr>
              <w:t>tool, but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doesn't answer the near-term capital or growth question this document is scoped to.</w:t>
            </w:r>
          </w:p>
        </w:tc>
        <w:tc>
          <w:tcPr>
            <w:tcW w:w="23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BFADBE" w14:textId="77777777" w:rsidR="00076F50" w:rsidRDefault="004666FC">
            <w:pPr>
              <w:jc w:val="center"/>
            </w:pPr>
            <w:r>
              <w:rPr>
                <w:color w:val="000000"/>
                <w:sz w:val="16"/>
                <w:szCs w:val="16"/>
              </w:rPr>
              <w:t>Defer</w:t>
            </w:r>
          </w:p>
        </w:tc>
      </w:tr>
    </w:tbl>
    <w:p w14:paraId="06466FEC" w14:textId="77777777" w:rsidR="00076F50" w:rsidRDefault="00076F50">
      <w:pPr>
        <w:pBdr>
          <w:top w:val="single" w:sz="4" w:space="4" w:color="AAAAAA"/>
        </w:pBdr>
        <w:spacing w:before="100"/>
      </w:pPr>
    </w:p>
    <w:p w14:paraId="57406C27" w14:textId="77777777" w:rsidR="00076F50" w:rsidRDefault="004666FC">
      <w:pPr>
        <w:spacing w:before="160" w:after="80"/>
      </w:pPr>
      <w:r>
        <w:rPr>
          <w:b/>
          <w:bCs/>
          <w:color w:val="1F3864"/>
          <w:sz w:val="21"/>
          <w:szCs w:val="21"/>
        </w:rPr>
        <w:t>FP&amp;A Take</w:t>
      </w:r>
    </w:p>
    <w:p w14:paraId="5D81EF94" w14:textId="77777777" w:rsidR="00076F50" w:rsidRDefault="004666FC">
      <w:pPr>
        <w:spacing w:after="100"/>
      </w:pPr>
      <w:r>
        <w:t>The strongest case against this recommendation is that AV's positive operating income is only one year old — FY2025 is the first year the division has been profitable since FY2021. If FY2026 repeats the FY2024 pattern (revenue up, margin absorbed by new headcount before it ramps), the self-funding math tightens. That argument holds up on the numbers, and it's the reason the Base case, not the High case, is the recommendation: Base needs only 2 hires and leaves the largest funding cushion ($300K+) if executi</w:t>
      </w:r>
      <w:r>
        <w:t>on slips. It's also why owner distributions ($697K in FY2025, versus $2.08M in FY2022) are the first lever to pull, not debt, if the cushion narrows.</w:t>
      </w:r>
    </w:p>
    <w:p w14:paraId="5CD0F1AE" w14:textId="77777777" w:rsidR="00076F50" w:rsidRDefault="004666FC">
      <w:pPr>
        <w:spacing w:after="100"/>
      </w:pPr>
      <w:r>
        <w:t>The contra-case for Recap: consolidated cash flow from operations has swung from -$3.7M to +$14.1M and back to -$4.1M over the last four years, so an argument for building a cash cushion through a recap isn't unreasonable on volatility grounds alone. It doesn't hold up here because the growth plan draws on EBIDA (a steadier, less WC-driven measure) rather than point-in-time CFO, and because the $300K+ funding cushion plus the distribution lever already cover the Base case without adding interest-bearing deb</w:t>
      </w:r>
      <w:r>
        <w:t>t to a balance sheet that's already levered 2.8x-4.7x in high years. Recap becomes the stronger argument only if Niel wants to fund the High-growth (14%) scenario or pursue an acquisition — not for Base-case AV growth on its own.</w:t>
      </w:r>
    </w:p>
    <w:p w14:paraId="56D49626" w14:textId="77777777" w:rsidR="00076F50" w:rsidRDefault="004666FC">
      <w:pPr>
        <w:spacing w:before="160" w:after="80"/>
      </w:pPr>
      <w:r>
        <w:rPr>
          <w:b/>
          <w:bCs/>
          <w:color w:val="1F3864"/>
          <w:sz w:val="21"/>
          <w:szCs w:val="21"/>
        </w:rPr>
        <w:t>What to Monitor, Regardless of Path</w:t>
      </w:r>
    </w:p>
    <w:p w14:paraId="349105E6" w14:textId="77777777" w:rsidR="00076F50" w:rsidRDefault="004666FC">
      <w:pPr>
        <w:pStyle w:val="ListParagraph"/>
        <w:numPr>
          <w:ilvl w:val="0"/>
          <w:numId w:val="1"/>
        </w:numPr>
        <w:spacing w:after="40"/>
      </w:pPr>
      <w:proofErr w:type="spellStart"/>
      <w:r>
        <w:t>Thermo</w:t>
      </w:r>
      <w:proofErr w:type="spellEnd"/>
      <w:r>
        <w:t xml:space="preserve"> Fisher/Applied Biosystems concentration — still 35.5% of revenue; track as a standing risk line each quarter.</w:t>
      </w:r>
    </w:p>
    <w:p w14:paraId="3A9C1715" w14:textId="77777777" w:rsidR="00076F50" w:rsidRDefault="004666FC">
      <w:pPr>
        <w:pStyle w:val="ListParagraph"/>
        <w:numPr>
          <w:ilvl w:val="0"/>
          <w:numId w:val="1"/>
        </w:numPr>
        <w:spacing w:after="40"/>
      </w:pPr>
      <w:r>
        <w:t>SG&amp;A-to-gross-profit ratio — 82.7% in FY2025 and rising; a cost-to-gross-profit action plan is due by end of Q1 2026.</w:t>
      </w:r>
    </w:p>
    <w:p w14:paraId="112E41E5" w14:textId="77777777" w:rsidR="00076F50" w:rsidRDefault="004666FC">
      <w:pPr>
        <w:pStyle w:val="ListParagraph"/>
        <w:numPr>
          <w:ilvl w:val="0"/>
          <w:numId w:val="1"/>
        </w:numPr>
        <w:spacing w:after="40"/>
      </w:pPr>
      <w:r>
        <w:t>AV hiring execution against the Base-case plan — 2 hires at $91.8K loaded cost each; margin holds only if incremental COGS stays near 39% of new revenue.</w:t>
      </w:r>
    </w:p>
    <w:p w14:paraId="36A2A9AF" w14:textId="77777777" w:rsidR="00076F50" w:rsidRDefault="004666FC">
      <w:pPr>
        <w:pStyle w:val="ListParagraph"/>
        <w:numPr>
          <w:ilvl w:val="0"/>
          <w:numId w:val="1"/>
        </w:numPr>
        <w:spacing w:after="40"/>
      </w:pPr>
      <w:r>
        <w:t xml:space="preserve">Floor-plan financing — 107% of book inventory FY2025; DIO at 76 days (ending-inventory basis) is near the top of the </w:t>
      </w:r>
      <w:proofErr w:type="gramStart"/>
      <w:r>
        <w:t>50-80 day</w:t>
      </w:r>
      <w:proofErr w:type="gramEnd"/>
      <w:r>
        <w:t xml:space="preserve"> peer band.</w:t>
      </w:r>
    </w:p>
    <w:p w14:paraId="195480F5" w14:textId="77777777" w:rsidR="00076F50" w:rsidRDefault="004666FC">
      <w:pPr>
        <w:pStyle w:val="ListParagraph"/>
        <w:numPr>
          <w:ilvl w:val="0"/>
          <w:numId w:val="1"/>
        </w:numPr>
        <w:spacing w:after="40"/>
      </w:pPr>
      <w:r>
        <w:t>FY2026 revenue trajectory — FY2024-FY2025 was the first non-decline in three years ($62.2M to $63.2M); confirm it's an inflection and not noise.</w:t>
      </w:r>
    </w:p>
    <w:p w14:paraId="59E3FD6F" w14:textId="77777777" w:rsidR="00076F50" w:rsidRDefault="00076F50">
      <w:pPr>
        <w:spacing w:after="140"/>
      </w:pPr>
    </w:p>
    <w:p w14:paraId="1A7E81A3" w14:textId="77777777" w:rsidR="00076F50" w:rsidRDefault="004666FC">
      <w:pPr>
        <w:spacing w:before="160" w:after="80"/>
      </w:pPr>
      <w:r>
        <w:rPr>
          <w:b/>
          <w:bCs/>
          <w:color w:val="1F3864"/>
          <w:sz w:val="21"/>
          <w:szCs w:val="21"/>
        </w:rPr>
        <w:t>Supporting Workbook</w:t>
      </w:r>
    </w:p>
    <w:p w14:paraId="02401CCA" w14:textId="77777777" w:rsidR="00076F50" w:rsidRDefault="004666FC">
      <w:pPr>
        <w:spacing w:after="200"/>
      </w:pPr>
      <w:r>
        <w:rPr>
          <w:i/>
          <w:iCs/>
          <w:color w:val="444444"/>
          <w:sz w:val="16"/>
          <w:szCs w:val="16"/>
        </w:rPr>
        <w:t>The underlying financial model (</w:t>
      </w:r>
      <w:proofErr w:type="spellStart"/>
      <w:r>
        <w:rPr>
          <w:i/>
          <w:iCs/>
          <w:color w:val="444444"/>
          <w:sz w:val="16"/>
          <w:szCs w:val="16"/>
        </w:rPr>
        <w:t>Attronica</w:t>
      </w:r>
      <w:proofErr w:type="spellEnd"/>
      <w:r>
        <w:rPr>
          <w:i/>
          <w:iCs/>
          <w:color w:val="444444"/>
          <w:sz w:val="16"/>
          <w:szCs w:val="16"/>
        </w:rPr>
        <w:t xml:space="preserve"> consolidated FY2022-2025 statements, AV Division Economics, Growth Feasibility, and Capital Allocation tabs) is available on request — upload it to Google Drive with view access and this appendix can be updated with a direct link.</w:t>
      </w:r>
    </w:p>
    <w:p w14:paraId="709D2B4D" w14:textId="77777777" w:rsidR="00076F50" w:rsidRDefault="004666FC">
      <w:pPr>
        <w:pBdr>
          <w:top w:val="single" w:sz="4" w:space="4" w:color="AAAAAA"/>
        </w:pBdr>
        <w:spacing w:before="100"/>
      </w:pPr>
      <w:r>
        <w:rPr>
          <w:i/>
          <w:iCs/>
          <w:color w:val="666666"/>
          <w:sz w:val="13"/>
          <w:szCs w:val="13"/>
        </w:rPr>
        <w:t xml:space="preserve">Sources: </w:t>
      </w:r>
      <w:proofErr w:type="spellStart"/>
      <w:r>
        <w:rPr>
          <w:i/>
          <w:iCs/>
          <w:color w:val="666666"/>
          <w:sz w:val="13"/>
          <w:szCs w:val="13"/>
        </w:rPr>
        <w:t>Attronica</w:t>
      </w:r>
      <w:proofErr w:type="spellEnd"/>
      <w:r>
        <w:rPr>
          <w:i/>
          <w:iCs/>
          <w:color w:val="666666"/>
          <w:sz w:val="13"/>
          <w:szCs w:val="13"/>
        </w:rPr>
        <w:t xml:space="preserve"> Leadership Memo (Aug 15, 2026); </w:t>
      </w:r>
      <w:proofErr w:type="spellStart"/>
      <w:r>
        <w:rPr>
          <w:i/>
          <w:iCs/>
          <w:color w:val="666666"/>
          <w:sz w:val="13"/>
          <w:szCs w:val="13"/>
        </w:rPr>
        <w:t>Attronica</w:t>
      </w:r>
      <w:proofErr w:type="spellEnd"/>
      <w:r>
        <w:rPr>
          <w:i/>
          <w:iCs/>
          <w:color w:val="666666"/>
          <w:sz w:val="13"/>
          <w:szCs w:val="13"/>
        </w:rPr>
        <w:t xml:space="preserve"> financial model — AV Division Economics, Growth Feasibility, Capital Allocation, Cost Drivers, Customer Risk &amp; Growth, Peer Bands tabs (Apr 2026).</w:t>
      </w:r>
    </w:p>
    <w:sectPr w:rsidR="00076F50">
      <w:pgSz w:w="12240" w:h="15840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D64DB"/>
    <w:multiLevelType w:val="hybridMultilevel"/>
    <w:tmpl w:val="9440E50A"/>
    <w:lvl w:ilvl="0" w:tplc="58504D60">
      <w:start w:val="1"/>
      <w:numFmt w:val="bullet"/>
      <w:lvlText w:val="●"/>
      <w:lvlJc w:val="left"/>
      <w:pPr>
        <w:ind w:left="720" w:hanging="360"/>
      </w:pPr>
    </w:lvl>
    <w:lvl w:ilvl="1" w:tplc="EDE632F0">
      <w:start w:val="1"/>
      <w:numFmt w:val="bullet"/>
      <w:lvlText w:val="○"/>
      <w:lvlJc w:val="left"/>
      <w:pPr>
        <w:ind w:left="1440" w:hanging="360"/>
      </w:pPr>
    </w:lvl>
    <w:lvl w:ilvl="2" w:tplc="902427B8">
      <w:start w:val="1"/>
      <w:numFmt w:val="bullet"/>
      <w:lvlText w:val="■"/>
      <w:lvlJc w:val="left"/>
      <w:pPr>
        <w:ind w:left="2160" w:hanging="360"/>
      </w:pPr>
    </w:lvl>
    <w:lvl w:ilvl="3" w:tplc="152A6F4A">
      <w:start w:val="1"/>
      <w:numFmt w:val="bullet"/>
      <w:lvlText w:val="●"/>
      <w:lvlJc w:val="left"/>
      <w:pPr>
        <w:ind w:left="2880" w:hanging="360"/>
      </w:pPr>
    </w:lvl>
    <w:lvl w:ilvl="4" w:tplc="E8DE46E2">
      <w:start w:val="1"/>
      <w:numFmt w:val="bullet"/>
      <w:lvlText w:val="○"/>
      <w:lvlJc w:val="left"/>
      <w:pPr>
        <w:ind w:left="3600" w:hanging="360"/>
      </w:pPr>
    </w:lvl>
    <w:lvl w:ilvl="5" w:tplc="AEB4C3B0">
      <w:start w:val="1"/>
      <w:numFmt w:val="bullet"/>
      <w:lvlText w:val="■"/>
      <w:lvlJc w:val="left"/>
      <w:pPr>
        <w:ind w:left="4320" w:hanging="360"/>
      </w:pPr>
    </w:lvl>
    <w:lvl w:ilvl="6" w:tplc="F154C7CE">
      <w:start w:val="1"/>
      <w:numFmt w:val="bullet"/>
      <w:lvlText w:val="●"/>
      <w:lvlJc w:val="left"/>
      <w:pPr>
        <w:ind w:left="5040" w:hanging="360"/>
      </w:pPr>
    </w:lvl>
    <w:lvl w:ilvl="7" w:tplc="B4BC1E08">
      <w:start w:val="1"/>
      <w:numFmt w:val="bullet"/>
      <w:lvlText w:val="●"/>
      <w:lvlJc w:val="left"/>
      <w:pPr>
        <w:ind w:left="5760" w:hanging="360"/>
      </w:pPr>
    </w:lvl>
    <w:lvl w:ilvl="8" w:tplc="83D023AA">
      <w:start w:val="1"/>
      <w:numFmt w:val="bullet"/>
      <w:lvlText w:val="●"/>
      <w:lvlJc w:val="left"/>
      <w:pPr>
        <w:ind w:left="6480" w:hanging="360"/>
      </w:pPr>
    </w:lvl>
  </w:abstractNum>
  <w:num w:numId="1" w16cid:durableId="80435328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6F50"/>
    <w:rsid w:val="00076F50"/>
    <w:rsid w:val="004666FC"/>
    <w:rsid w:val="004D66C8"/>
    <w:rsid w:val="00C30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B3AA5D"/>
  <w15:docId w15:val="{EE9CFFCA-3C6D-411E-B61C-03C8AF0DD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18"/>
        <w:szCs w:val="18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1657</Words>
  <Characters>9447</Characters>
  <Application>Microsoft Office Word</Application>
  <DocSecurity>0</DocSecurity>
  <Lines>78</Lines>
  <Paragraphs>22</Paragraphs>
  <ScaleCrop>false</ScaleCrop>
  <Company/>
  <LinksUpToDate>false</LinksUpToDate>
  <CharactersWithSpaces>11082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Daniel Hutton</cp:lastModifiedBy>
  <cp:revision>2</cp:revision>
  <dcterms:created xsi:type="dcterms:W3CDTF">2026-08-17T21:10:00Z</dcterms:created>
  <dcterms:modified xsi:type="dcterms:W3CDTF">2026-08-17T21:10:00Z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13c42704-4639-480c-8782-8452af797fc6</vt:lpwstr>
  </property>
</Properties>
</file>